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598005A"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MINISTÉRIO DO DESENVOLVIMENTO, INDÚSTRIA, COMÉRCIO E SERVIÇOS</w:t>
      </w:r>
    </w:p>
    <w:p w14:paraId="43526ED0"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SECRETARIA DE COMÉRCIO EXTERIOR</w:t>
      </w:r>
    </w:p>
    <w:p w14:paraId="3F0FD8D2" w14:textId="4C71ED8A" w:rsidR="00E96EFC" w:rsidRPr="008C6478"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DEPARTAMENTO DE DEFESA COMERCIAL</w:t>
      </w:r>
      <w:r w:rsidR="00E96EFC" w:rsidRPr="008C6478">
        <w:rPr>
          <w:rFonts w:asciiTheme="minorHAnsi" w:hAnsiTheme="minorHAnsi" w:cstheme="minorHAnsi"/>
          <w:b/>
          <w:sz w:val="22"/>
          <w:szCs w:val="22"/>
        </w:rPr>
        <w:t xml:space="preserve"> </w:t>
      </w:r>
    </w:p>
    <w:p w14:paraId="190D73DB" w14:textId="77777777" w:rsidR="00381313"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9525EEA"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0C435C6C"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BC287A8" w14:textId="77777777" w:rsidR="00191926" w:rsidRPr="008C6478"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8C6478">
        <w:rPr>
          <w:rFonts w:asciiTheme="minorHAnsi" w:hAnsiTheme="minorHAnsi" w:cstheme="minorHAnsi"/>
          <w:b/>
          <w:sz w:val="32"/>
          <w:szCs w:val="32"/>
        </w:rPr>
        <w:t xml:space="preserve">QUESTIONÁRIO </w:t>
      </w:r>
      <w:r w:rsidR="00347B69" w:rsidRPr="008C647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42AB9227" w14:textId="15F077CF" w:rsidR="00381313" w:rsidRPr="008C6478" w:rsidRDefault="00A12672"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8C6478">
        <w:rPr>
          <w:rFonts w:asciiTheme="minorHAnsi" w:hAnsiTheme="minorHAnsi" w:cstheme="minorHAnsi"/>
          <w:sz w:val="24"/>
          <w:szCs w:val="24"/>
        </w:rPr>
        <w:t>Revisão de final de período da medida antidumping aplicada sobre as importações brasileiras de</w:t>
      </w:r>
      <w:r w:rsidR="00A82A0F">
        <w:rPr>
          <w:rFonts w:asciiTheme="minorHAnsi" w:hAnsiTheme="minorHAnsi" w:cstheme="minorHAnsi"/>
          <w:sz w:val="24"/>
          <w:szCs w:val="24"/>
        </w:rPr>
        <w:t xml:space="preserve"> </w:t>
      </w:r>
      <w:r w:rsidR="00A82A0F" w:rsidRPr="00A82A0F">
        <w:rPr>
          <w:rFonts w:asciiTheme="minorHAnsi" w:hAnsiTheme="minorHAnsi" w:cstheme="minorHAnsi"/>
          <w:sz w:val="24"/>
          <w:szCs w:val="24"/>
        </w:rPr>
        <w:t>ventiladores de mesa, acima de 15 cm, com motor elétrico incorporado, de potência não superior a 125W,</w:t>
      </w:r>
      <w:r w:rsidR="00A82A0F">
        <w:rPr>
          <w:rFonts w:asciiTheme="minorHAnsi" w:hAnsiTheme="minorHAnsi" w:cstheme="minorHAnsi"/>
          <w:sz w:val="24"/>
          <w:szCs w:val="24"/>
        </w:rPr>
        <w:t xml:space="preserve"> </w:t>
      </w:r>
      <w:r w:rsidR="00A82A0F" w:rsidRPr="00A82A0F">
        <w:rPr>
          <w:rFonts w:asciiTheme="minorHAnsi" w:hAnsiTheme="minorHAnsi" w:cstheme="minorHAnsi"/>
          <w:sz w:val="24"/>
          <w:szCs w:val="24"/>
        </w:rPr>
        <w:t>comumente classificadas no item 8414.51.10 da Nomenclatura Comum do Mercosul – NCM, originárias da China.</w:t>
      </w:r>
    </w:p>
    <w:p w14:paraId="4B12B75C"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2297D5" w14:textId="06345F8D" w:rsidR="008C6478" w:rsidRPr="008C6478" w:rsidRDefault="008C6478"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8C6478">
        <w:rPr>
          <w:rFonts w:asciiTheme="minorHAnsi" w:hAnsiTheme="minorHAnsi" w:cstheme="minorHAnsi"/>
          <w:iCs/>
          <w:sz w:val="24"/>
          <w:szCs w:val="24"/>
        </w:rPr>
        <w:t xml:space="preserve">dos </w:t>
      </w:r>
      <w:bookmarkStart w:id="1" w:name="_Hlk79508459"/>
      <w:r w:rsidRPr="008C6478">
        <w:rPr>
          <w:rFonts w:asciiTheme="minorHAnsi" w:hAnsiTheme="minorHAnsi" w:cstheme="minorHAnsi"/>
          <w:sz w:val="24"/>
          <w:szCs w:val="24"/>
        </w:rPr>
        <w:t>Processos SEI n</w:t>
      </w:r>
      <w:r w:rsidRPr="008C6478">
        <w:rPr>
          <w:rFonts w:asciiTheme="minorHAnsi" w:hAnsiTheme="minorHAnsi" w:cstheme="minorHAnsi"/>
          <w:sz w:val="24"/>
          <w:szCs w:val="24"/>
          <w:u w:val="single"/>
          <w:vertAlign w:val="superscript"/>
        </w:rPr>
        <w:t>os</w:t>
      </w:r>
      <w:r w:rsidRPr="008C6478">
        <w:rPr>
          <w:rFonts w:asciiTheme="minorHAnsi" w:hAnsiTheme="minorHAnsi" w:cstheme="minorHAnsi"/>
          <w:sz w:val="24"/>
          <w:szCs w:val="24"/>
        </w:rPr>
        <w:t xml:space="preserve"> </w:t>
      </w:r>
      <w:bookmarkStart w:id="2" w:name="_Hlk80089039"/>
      <w:r w:rsidR="00A82A0F" w:rsidRPr="008D016C">
        <w:rPr>
          <w:rFonts w:asciiTheme="minorHAnsi" w:hAnsiTheme="minorHAnsi" w:cstheme="minorHAnsi"/>
          <w:szCs w:val="24"/>
        </w:rPr>
        <w:t xml:space="preserve">19972.000218/2024-81 </w:t>
      </w:r>
      <w:bookmarkEnd w:id="2"/>
      <w:r w:rsidR="00A82A0F" w:rsidRPr="008D016C">
        <w:rPr>
          <w:rFonts w:asciiTheme="minorHAnsi" w:hAnsiTheme="minorHAnsi" w:cstheme="minorHAnsi"/>
          <w:szCs w:val="24"/>
        </w:rPr>
        <w:t xml:space="preserve">restrito e </w:t>
      </w:r>
      <w:bookmarkStart w:id="3" w:name="_Hlk80089069"/>
      <w:r w:rsidR="00A82A0F" w:rsidRPr="008D016C">
        <w:rPr>
          <w:rFonts w:asciiTheme="minorHAnsi" w:hAnsiTheme="minorHAnsi" w:cstheme="minorHAnsi"/>
          <w:szCs w:val="24"/>
        </w:rPr>
        <w:t>19972.000217/2024-36</w:t>
      </w:r>
      <w:bookmarkEnd w:id="3"/>
      <w:r w:rsidRPr="008C6478">
        <w:rPr>
          <w:rFonts w:asciiTheme="minorHAnsi" w:hAnsiTheme="minorHAnsi" w:cstheme="minorHAnsi"/>
          <w:sz w:val="24"/>
          <w:szCs w:val="24"/>
        </w:rPr>
        <w:t>confidencial</w:t>
      </w:r>
      <w:bookmarkEnd w:id="0"/>
      <w:bookmarkEnd w:id="1"/>
      <w:r w:rsidRPr="008C6478">
        <w:rPr>
          <w:rFonts w:asciiTheme="minorHAnsi" w:hAnsiTheme="minorHAnsi" w:cstheme="minorHAnsi"/>
          <w:sz w:val="24"/>
          <w:szCs w:val="24"/>
        </w:rPr>
        <w:t xml:space="preserve"> </w:t>
      </w:r>
    </w:p>
    <w:p w14:paraId="36EEC6FD" w14:textId="6367CD13"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8C6478">
        <w:rPr>
          <w:rFonts w:asciiTheme="minorHAnsi" w:hAnsiTheme="minorHAnsi" w:cstheme="minorHAnsi"/>
          <w:sz w:val="24"/>
          <w:szCs w:val="24"/>
        </w:rPr>
        <w:t>Contato: (+55 61) 2027-</w:t>
      </w:r>
      <w:r w:rsidR="00A82A0F" w:rsidRPr="008D016C">
        <w:rPr>
          <w:rFonts w:asciiTheme="minorHAnsi" w:hAnsiTheme="minorHAnsi" w:cstheme="minorHAnsi"/>
          <w:szCs w:val="24"/>
        </w:rPr>
        <w:t>7770 ou defesacomercial.cgsc@mdic.gov.br</w:t>
      </w:r>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4" w:name="_Toc340425356"/>
      <w:r w:rsidR="00AE3976" w:rsidRPr="008C6478">
        <w:rPr>
          <w:rFonts w:asciiTheme="minorHAnsi" w:hAnsiTheme="minorHAnsi" w:cstheme="minorHAnsi"/>
        </w:rPr>
        <w:lastRenderedPageBreak/>
        <w:t>INSTRUÇÕES GERAIS</w:t>
      </w:r>
      <w:bookmarkEnd w:id="4"/>
    </w:p>
    <w:p w14:paraId="681CEA90" w14:textId="77777777" w:rsidR="00AE3976" w:rsidRPr="008C6478" w:rsidRDefault="00AE3976" w:rsidP="00AE3976">
      <w:pPr>
        <w:jc w:val="both"/>
        <w:rPr>
          <w:rFonts w:asciiTheme="minorHAnsi" w:hAnsiTheme="minorHAnsi" w:cstheme="minorHAnsi"/>
          <w:sz w:val="24"/>
        </w:rPr>
      </w:pPr>
    </w:p>
    <w:p w14:paraId="385F9282" w14:textId="04EC37FD" w:rsidR="00205634" w:rsidRPr="008C6478" w:rsidRDefault="007E4B19" w:rsidP="007E4B19">
      <w:pPr>
        <w:numPr>
          <w:ilvl w:val="0"/>
          <w:numId w:val="37"/>
        </w:numPr>
        <w:snapToGrid w:val="0"/>
        <w:ind w:left="0" w:right="-199"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  </w:t>
      </w:r>
      <w:r w:rsidR="00205634" w:rsidRPr="008C6478">
        <w:rPr>
          <w:rFonts w:asciiTheme="minorHAnsi" w:hAnsiTheme="minorHAnsi" w:cstheme="minorHAnsi"/>
          <w:sz w:val="24"/>
          <w:szCs w:val="24"/>
        </w:rPr>
        <w:t xml:space="preserve">Este questionário tem por objetivo reunir informações necessárias à </w:t>
      </w:r>
      <w:r w:rsidR="00A12672" w:rsidRPr="008C6478">
        <w:rPr>
          <w:rFonts w:asciiTheme="minorHAnsi" w:hAnsiTheme="minorHAnsi" w:cstheme="minorHAnsi"/>
          <w:sz w:val="24"/>
          <w:szCs w:val="24"/>
        </w:rPr>
        <w:t xml:space="preserve">revisão de final de período da medida antidumping aplicada sobre as importações brasileiras </w:t>
      </w:r>
      <w:r w:rsidR="00A12672" w:rsidRPr="00A82A0F">
        <w:rPr>
          <w:rFonts w:asciiTheme="minorHAnsi" w:hAnsiTheme="minorHAnsi" w:cstheme="minorHAnsi"/>
          <w:sz w:val="24"/>
          <w:szCs w:val="24"/>
        </w:rPr>
        <w:t>de</w:t>
      </w:r>
      <w:r w:rsidR="00205634" w:rsidRPr="00A82A0F">
        <w:rPr>
          <w:rFonts w:asciiTheme="minorHAnsi" w:hAnsiTheme="minorHAnsi" w:cstheme="minorHAnsi"/>
          <w:sz w:val="24"/>
          <w:szCs w:val="24"/>
        </w:rPr>
        <w:t xml:space="preserve"> </w:t>
      </w:r>
      <w:r w:rsidR="00A82A0F" w:rsidRPr="00A82A0F">
        <w:rPr>
          <w:rFonts w:asciiTheme="minorHAnsi" w:hAnsiTheme="minorHAnsi" w:cstheme="minorHAnsi"/>
          <w:sz w:val="24"/>
          <w:szCs w:val="24"/>
        </w:rPr>
        <w:t>ventiladores de mesa, acima de 15 cm, com motor elétrico incorporado, de potência não superior a 125W, comumente classificadas no item 8414.51.10 da Nomenclatura Comum do Mercosul – NCM, originárias da China, e de dano à indústria doméstica decorrente de tal prática.</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279229BB"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2F0A7C">
        <w:rPr>
          <w:rFonts w:asciiTheme="minorHAnsi" w:hAnsiTheme="minorHAnsi" w:cstheme="minorHAnsi"/>
          <w:sz w:val="24"/>
          <w:szCs w:val="24"/>
        </w:rPr>
        <w:t>ao DECOM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0D2C95A8" w:rsidR="00AE3976" w:rsidRDefault="002F0A7C"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r w:rsidR="00191926">
        <w:rPr>
          <w:rFonts w:asciiTheme="minorHAnsi" w:hAnsiTheme="minorHAnsi" w:cstheme="minorHAnsi"/>
          <w:sz w:val="24"/>
          <w:szCs w:val="24"/>
        </w:rPr>
        <w:t xml:space="preserve"> </w:t>
      </w:r>
      <w:r w:rsidR="00191926"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191926">
        <w:rPr>
          <w:rFonts w:asciiTheme="minorHAnsi" w:hAnsiTheme="minorHAnsi" w:cstheme="minorHAnsi"/>
          <w:sz w:val="24"/>
          <w:szCs w:val="24"/>
        </w:rPr>
        <w:t>.</w:t>
      </w:r>
    </w:p>
    <w:p w14:paraId="7386E0F0" w14:textId="77777777" w:rsidR="00191926" w:rsidRDefault="00191926" w:rsidP="00191926">
      <w:pPr>
        <w:pStyle w:val="PargrafodaLista"/>
        <w:jc w:val="right"/>
        <w:rPr>
          <w:rFonts w:asciiTheme="minorHAnsi" w:hAnsiTheme="minorHAnsi" w:cstheme="minorHAnsi"/>
          <w:sz w:val="24"/>
          <w:szCs w:val="24"/>
        </w:rPr>
      </w:pPr>
    </w:p>
    <w:p w14:paraId="06EAA9F5" w14:textId="01B389B0" w:rsidR="00191926" w:rsidRPr="008C6478" w:rsidRDefault="00191926"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w:t>
      </w:r>
      <w:r w:rsidRPr="008C6478">
        <w:rPr>
          <w:rFonts w:asciiTheme="minorHAnsi" w:hAnsiTheme="minorHAnsi" w:cstheme="minorHAnsi"/>
          <w:sz w:val="24"/>
          <w:szCs w:val="24"/>
        </w:rPr>
        <w:lastRenderedPageBreak/>
        <w:t xml:space="preserve">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0D33CFE8" w:rsidR="00FA2781" w:rsidRPr="00AE4245" w:rsidRDefault="00AE4245"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AE4245">
        <w:rPr>
          <w:rFonts w:asciiTheme="minorHAnsi" w:hAnsiTheme="minorHAnsi" w:cstheme="minorHAnsi"/>
          <w:color w:val="201F1E"/>
          <w:sz w:val="24"/>
          <w:szCs w:val="24"/>
        </w:rPr>
        <w:t>Nos termos da Portaria SECEX n</w:t>
      </w:r>
      <w:r w:rsidRPr="00AE4245">
        <w:rPr>
          <w:rFonts w:asciiTheme="minorHAnsi" w:hAnsiTheme="minorHAnsi" w:cstheme="minorHAnsi"/>
          <w:strike/>
          <w:color w:val="201F1E"/>
          <w:sz w:val="24"/>
          <w:szCs w:val="24"/>
        </w:rPr>
        <w:t>º</w:t>
      </w:r>
      <w:r w:rsidRPr="00AE4245">
        <w:rPr>
          <w:rFonts w:asciiTheme="minorHAnsi" w:hAnsiTheme="minorHAnsi" w:cstheme="minorHAnsi"/>
          <w:color w:val="201F1E"/>
          <w:sz w:val="24"/>
          <w:szCs w:val="24"/>
        </w:rPr>
        <w:t> </w:t>
      </w:r>
      <w:r w:rsidR="00A43951">
        <w:rPr>
          <w:rFonts w:asciiTheme="minorHAnsi" w:hAnsiTheme="minorHAnsi" w:cstheme="minorHAnsi"/>
          <w:color w:val="201F1E"/>
          <w:sz w:val="24"/>
          <w:szCs w:val="24"/>
        </w:rPr>
        <w:t>162</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06</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janeiro</w:t>
      </w:r>
      <w:r w:rsidRPr="00AE4245">
        <w:rPr>
          <w:rFonts w:asciiTheme="minorHAnsi" w:hAnsiTheme="minorHAnsi" w:cstheme="minorHAnsi"/>
          <w:color w:val="201F1E"/>
          <w:sz w:val="24"/>
          <w:szCs w:val="24"/>
        </w:rPr>
        <w:t xml:space="preserve"> de 202</w:t>
      </w:r>
      <w:r w:rsidR="00A43951">
        <w:rPr>
          <w:rFonts w:asciiTheme="minorHAnsi" w:hAnsiTheme="minorHAnsi" w:cstheme="minorHAnsi"/>
          <w:color w:val="201F1E"/>
          <w:sz w:val="24"/>
          <w:szCs w:val="24"/>
        </w:rPr>
        <w:t>2</w:t>
      </w:r>
      <w:r w:rsidRPr="00AE424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AE4245">
        <w:rPr>
          <w:rFonts w:asciiTheme="minorHAnsi" w:hAnsiTheme="minorHAnsi" w:cstheme="minorHAnsi"/>
          <w:color w:val="201F1E"/>
          <w:sz w:val="24"/>
          <w:szCs w:val="24"/>
          <w:u w:val="single"/>
          <w:vertAlign w:val="superscript"/>
        </w:rPr>
        <w:t>os</w:t>
      </w:r>
      <w:r w:rsidRPr="00AE4245">
        <w:rPr>
          <w:rFonts w:asciiTheme="minorHAnsi" w:hAnsiTheme="minorHAnsi" w:cstheme="minorHAnsi"/>
          <w:color w:val="201F1E"/>
          <w:sz w:val="24"/>
          <w:szCs w:val="24"/>
        </w:rPr>
        <w:t xml:space="preserve"> </w:t>
      </w:r>
      <w:r w:rsidR="00A82A0F" w:rsidRPr="00D77033">
        <w:rPr>
          <w:rFonts w:asciiTheme="minorHAnsi" w:hAnsiTheme="minorHAnsi" w:cstheme="minorHAnsi"/>
          <w:b/>
          <w:bCs/>
          <w:color w:val="201F1E"/>
          <w:szCs w:val="24"/>
        </w:rPr>
        <w:t>19972.000218/2024-81</w:t>
      </w:r>
      <w:r w:rsidR="00A82A0F" w:rsidRPr="00AE4245">
        <w:rPr>
          <w:rFonts w:asciiTheme="minorHAnsi" w:hAnsiTheme="minorHAnsi" w:cstheme="minorHAnsi"/>
          <w:color w:val="FF0000"/>
          <w:sz w:val="24"/>
          <w:szCs w:val="24"/>
        </w:rPr>
        <w:t xml:space="preserve"> </w:t>
      </w:r>
      <w:r w:rsidRPr="00AE4245">
        <w:rPr>
          <w:rFonts w:asciiTheme="minorHAnsi" w:hAnsiTheme="minorHAnsi" w:cstheme="minorHAnsi"/>
          <w:color w:val="201F1E"/>
          <w:sz w:val="24"/>
          <w:szCs w:val="24"/>
        </w:rPr>
        <w:t xml:space="preserve">restrito e </w:t>
      </w:r>
      <w:r w:rsidR="00A82A0F" w:rsidRPr="00D77033">
        <w:rPr>
          <w:rFonts w:asciiTheme="minorHAnsi" w:hAnsiTheme="minorHAnsi" w:cstheme="minorHAnsi"/>
          <w:b/>
          <w:bCs/>
          <w:color w:val="201F1E"/>
          <w:szCs w:val="24"/>
        </w:rPr>
        <w:t>19972.000217/2024-36</w:t>
      </w:r>
      <w:r w:rsidR="00A82A0F">
        <w:rPr>
          <w:rFonts w:asciiTheme="minorHAnsi" w:hAnsiTheme="minorHAnsi" w:cstheme="minorHAnsi"/>
          <w:color w:val="FF0000"/>
          <w:sz w:val="24"/>
          <w:szCs w:val="24"/>
        </w:rPr>
        <w:t xml:space="preserve"> </w:t>
      </w:r>
      <w:r w:rsidRPr="00AE4245">
        <w:rPr>
          <w:rFonts w:asciiTheme="minorHAnsi" w:hAnsiTheme="minorHAnsi" w:cstheme="minorHAnsi"/>
          <w:color w:val="201F1E"/>
          <w:sz w:val="24"/>
          <w:szCs w:val="24"/>
        </w:rPr>
        <w:t xml:space="preserve">confidencial no Sistema Eletrônico de Informações - SEI, disponível em </w:t>
      </w:r>
      <w:hyperlink r:id="rId9" w:tgtFrame="_blank" w:history="1">
        <w:r w:rsidRPr="00AE4245">
          <w:rPr>
            <w:rStyle w:val="Hyperlink"/>
            <w:rFonts w:asciiTheme="minorHAnsi" w:hAnsiTheme="minorHAnsi" w:cstheme="minorHAnsi"/>
            <w:sz w:val="24"/>
            <w:szCs w:val="24"/>
          </w:rPr>
          <w:t>https://www.gov.br/economia/pt-br/acesso-a-informacao/sei/usuario-externo-1</w:t>
        </w:r>
      </w:hyperlink>
      <w:r w:rsidRPr="00AE4245">
        <w:rPr>
          <w:rFonts w:asciiTheme="minorHAnsi" w:hAnsiTheme="minorHAnsi" w:cstheme="minorHAnsi"/>
          <w:color w:val="201F1E"/>
          <w:sz w:val="24"/>
          <w:szCs w:val="24"/>
        </w:rPr>
        <w:t>  </w:t>
      </w:r>
      <w:r w:rsidR="008C6478" w:rsidRPr="00AE4245">
        <w:rPr>
          <w:rFonts w:asciiTheme="minorHAnsi" w:hAnsiTheme="minorHAnsi" w:cstheme="minorHAnsi"/>
          <w:sz w:val="24"/>
          <w:szCs w:val="24"/>
        </w:rPr>
        <w:t>.</w:t>
      </w:r>
      <w:bookmarkEnd w:id="5"/>
      <w:r w:rsidR="008C6478" w:rsidRPr="00AE4245">
        <w:rPr>
          <w:rFonts w:asciiTheme="minorHAnsi" w:hAnsiTheme="minorHAnsi" w:cstheme="minorHAnsi"/>
          <w:sz w:val="24"/>
          <w:szCs w:val="24"/>
        </w:rPr>
        <w:t xml:space="preserve"> </w:t>
      </w:r>
      <w:bookmarkEnd w:id="6"/>
      <w:r w:rsidR="00FA2781" w:rsidRPr="00AE4245">
        <w:rPr>
          <w:rFonts w:asciiTheme="minorHAnsi" w:hAnsiTheme="minorHAnsi" w:cstheme="minorHAns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2732"/>
      <w:r w:rsidRPr="008C6478">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7"/>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285B7AD"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80275898"/>
      <w:bookmarkStart w:id="9" w:name="_Hlk80276022"/>
      <w:r w:rsidRPr="008C6478">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8"/>
      <w:bookmarkEnd w:id="9"/>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49522662"/>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7DBC68BA"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1" w:name="_Hlk80196227"/>
      <w:r w:rsidRPr="008C6478">
        <w:rPr>
          <w:rFonts w:asciiTheme="minorHAnsi" w:hAnsiTheme="minorHAnsi" w:cstheme="minorHAnsi"/>
          <w:sz w:val="24"/>
          <w:szCs w:val="24"/>
        </w:rPr>
        <w:lastRenderedPageBreak/>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1"/>
    </w:p>
    <w:bookmarkEnd w:id="10"/>
    <w:p w14:paraId="7BBC16D5" w14:textId="77777777" w:rsidR="008C6478" w:rsidRPr="008C6478" w:rsidRDefault="008C6478" w:rsidP="001A3BC3">
      <w:pPr>
        <w:pStyle w:val="PargrafodaLista"/>
        <w:rPr>
          <w:rFonts w:asciiTheme="minorHAnsi" w:hAnsiTheme="minorHAnsi" w:cstheme="minorHAnsi"/>
          <w:sz w:val="24"/>
          <w:szCs w:val="24"/>
        </w:rPr>
      </w:pPr>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12" w:name="_Toc340425357"/>
      <w:r w:rsidRPr="008C6478">
        <w:rPr>
          <w:rFonts w:asciiTheme="minorHAnsi" w:hAnsiTheme="minorHAnsi" w:cstheme="minorHAnsi"/>
        </w:rPr>
        <w:lastRenderedPageBreak/>
        <w:t>I - INFORMAÇÕES SOBRE A EMPRESA</w:t>
      </w:r>
      <w:bookmarkEnd w:id="12"/>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3" w:name="_Toc340425358"/>
      <w:r w:rsidRPr="008C6478">
        <w:rPr>
          <w:rFonts w:asciiTheme="minorHAnsi" w:hAnsiTheme="minorHAnsi" w:cstheme="minorHAnsi"/>
          <w:sz w:val="24"/>
          <w:szCs w:val="24"/>
        </w:rPr>
        <w:t>Dados gerais</w:t>
      </w:r>
      <w:bookmarkEnd w:id="13"/>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5C89F5A9"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2F0A7C">
        <w:rPr>
          <w:rFonts w:asciiTheme="minorHAnsi" w:hAnsiTheme="minorHAnsi" w:cstheme="minorHAnsi"/>
          <w:sz w:val="24"/>
          <w:szCs w:val="24"/>
        </w:rPr>
        <w:t>ao DECOM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4" w:name="_Toc340425360"/>
      <w:r w:rsidRPr="008C6478">
        <w:rPr>
          <w:rFonts w:asciiTheme="minorHAnsi" w:hAnsiTheme="minorHAnsi" w:cstheme="minorHAnsi"/>
          <w:sz w:val="24"/>
          <w:szCs w:val="24"/>
        </w:rPr>
        <w:t>Estrutura e Afiliações</w:t>
      </w:r>
      <w:bookmarkEnd w:id="14"/>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03DE881D"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00102935" w:rsidRPr="008C6478">
        <w:rPr>
          <w:rFonts w:asciiTheme="minorHAnsi" w:hAnsiTheme="minorHAnsi" w:cstheme="minorHAnsi"/>
          <w:bCs/>
          <w:sz w:val="24"/>
        </w:rPr>
        <w:t>Fornecer</w:t>
      </w:r>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Pr>
          <w:rFonts w:asciiTheme="minorHAnsi" w:hAnsiTheme="minorHAnsi" w:cstheme="minorHAnsi"/>
          <w:bCs/>
          <w:sz w:val="24"/>
        </w:rPr>
        <w:t>ao DECOM</w:t>
      </w:r>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se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se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se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se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se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Datasul, etc.)</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5"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5"/>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0ED7B637"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r w:rsidRPr="008C6478">
        <w:rPr>
          <w:rFonts w:asciiTheme="minorHAnsi" w:hAnsiTheme="minorHAnsi" w:cstheme="minorHAnsi"/>
          <w:b/>
          <w:bCs/>
          <w:sz w:val="24"/>
          <w:szCs w:val="24"/>
        </w:rPr>
        <w:t xml:space="preserve">Produto objeto da </w:t>
      </w:r>
      <w:r w:rsidR="00A12672" w:rsidRPr="008C6478">
        <w:rPr>
          <w:rFonts w:asciiTheme="minorHAnsi" w:hAnsiTheme="minorHAnsi" w:cstheme="minorHAnsi"/>
          <w:b/>
          <w:bCs/>
          <w:sz w:val="24"/>
          <w:szCs w:val="24"/>
        </w:rPr>
        <w:t>revisão</w:t>
      </w:r>
      <w:r w:rsidRPr="008C6478">
        <w:rPr>
          <w:rFonts w:asciiTheme="minorHAnsi" w:hAnsiTheme="minorHAnsi" w:cstheme="minorHAnsi"/>
          <w:b/>
          <w:bCs/>
          <w:sz w:val="24"/>
          <w:szCs w:val="24"/>
        </w:rPr>
        <w:t>:</w:t>
      </w:r>
    </w:p>
    <w:p w14:paraId="04760C9D" w14:textId="77777777" w:rsidR="00205634" w:rsidRPr="003F7082" w:rsidRDefault="00205634" w:rsidP="00205634">
      <w:pPr>
        <w:pStyle w:val="Recuodecorpodetexto"/>
        <w:ind w:left="-142" w:right="-199" w:firstLine="0"/>
        <w:jc w:val="left"/>
        <w:rPr>
          <w:rFonts w:asciiTheme="minorHAnsi" w:hAnsiTheme="minorHAnsi" w:cstheme="minorHAnsi"/>
          <w:bCs/>
          <w:sz w:val="24"/>
          <w:szCs w:val="24"/>
        </w:rPr>
      </w:pPr>
    </w:p>
    <w:p w14:paraId="0FF20E26" w14:textId="77777777" w:rsidR="003F7082" w:rsidRPr="003F7082" w:rsidRDefault="00205634" w:rsidP="003F7082">
      <w:pPr>
        <w:jc w:val="both"/>
        <w:rPr>
          <w:rFonts w:asciiTheme="minorHAnsi" w:hAnsiTheme="minorHAnsi" w:cstheme="minorHAnsi"/>
          <w:bCs/>
          <w:sz w:val="24"/>
          <w:szCs w:val="24"/>
        </w:rPr>
      </w:pPr>
      <w:r w:rsidRPr="003F7082">
        <w:rPr>
          <w:rFonts w:asciiTheme="minorHAnsi" w:hAnsiTheme="minorHAnsi" w:cstheme="minorHAnsi"/>
          <w:bCs/>
          <w:sz w:val="24"/>
          <w:szCs w:val="24"/>
        </w:rPr>
        <w:t>i)</w:t>
      </w:r>
      <w:r w:rsidRPr="003F7082">
        <w:rPr>
          <w:rFonts w:asciiTheme="minorHAnsi" w:hAnsiTheme="minorHAnsi" w:cstheme="minorHAnsi"/>
          <w:bCs/>
          <w:color w:val="FF0000"/>
          <w:sz w:val="24"/>
          <w:szCs w:val="24"/>
        </w:rPr>
        <w:tab/>
      </w:r>
      <w:r w:rsidR="003F7082" w:rsidRPr="003F7082">
        <w:rPr>
          <w:rFonts w:asciiTheme="minorHAnsi" w:hAnsiTheme="minorHAnsi" w:cstheme="minorHAnsi"/>
          <w:bCs/>
          <w:sz w:val="24"/>
          <w:szCs w:val="24"/>
        </w:rPr>
        <w:t>Ventiladores de mesa, acima de 15 cm, de potência não superior a 125 W, de uma hélice, mais comumente de material plástico ou metálico, acionados por motor elétrico incorporado e, normalmente, montados no próprio eixo prolongado deste motor, comumente classificado no item 8414.51.10 da NCM, exportado da China para o Brasil.</w:t>
      </w:r>
    </w:p>
    <w:p w14:paraId="54157D3A" w14:textId="77777777" w:rsidR="003F7082" w:rsidRPr="003F7082" w:rsidRDefault="003F7082" w:rsidP="003F7082">
      <w:pPr>
        <w:jc w:val="both"/>
        <w:rPr>
          <w:rFonts w:asciiTheme="minorHAnsi" w:hAnsiTheme="minorHAnsi" w:cstheme="minorHAnsi"/>
          <w:bCs/>
          <w:sz w:val="24"/>
          <w:szCs w:val="24"/>
        </w:rPr>
      </w:pPr>
    </w:p>
    <w:p w14:paraId="57720777" w14:textId="77777777" w:rsidR="003F7082" w:rsidRPr="003F7082" w:rsidRDefault="003F7082" w:rsidP="003F7082">
      <w:pPr>
        <w:jc w:val="both"/>
        <w:rPr>
          <w:rFonts w:asciiTheme="minorHAnsi" w:hAnsiTheme="minorHAnsi" w:cstheme="minorHAnsi"/>
          <w:bCs/>
          <w:sz w:val="24"/>
          <w:szCs w:val="24"/>
        </w:rPr>
      </w:pPr>
      <w:r w:rsidRPr="003F7082">
        <w:rPr>
          <w:rFonts w:asciiTheme="minorHAnsi" w:hAnsiTheme="minorHAnsi" w:cstheme="minorHAnsi"/>
          <w:bCs/>
          <w:sz w:val="24"/>
          <w:szCs w:val="24"/>
        </w:rPr>
        <w:tab/>
        <w:t xml:space="preserve">Os motores elétricos utilizados, do tipo rotor em curto-circuito e monofásicos, são alimentados por corrente elétrica alternada (50/60 Hz) em voltagem domiciliar de 127 ou 220 Volts. O conjunto-corpo é apoiado por eixo horizontal sobre a coluna da base. </w:t>
      </w:r>
    </w:p>
    <w:p w14:paraId="4C954190" w14:textId="77777777" w:rsidR="003F7082" w:rsidRPr="003F7082" w:rsidRDefault="003F7082" w:rsidP="003F7082">
      <w:pPr>
        <w:jc w:val="both"/>
        <w:rPr>
          <w:rFonts w:asciiTheme="minorHAnsi" w:hAnsiTheme="minorHAnsi" w:cstheme="minorHAnsi"/>
          <w:bCs/>
          <w:sz w:val="24"/>
          <w:szCs w:val="24"/>
        </w:rPr>
      </w:pPr>
    </w:p>
    <w:p w14:paraId="708FF25C" w14:textId="15010948" w:rsidR="003F7082" w:rsidRPr="003F7082" w:rsidRDefault="003F7082" w:rsidP="003F7082">
      <w:pPr>
        <w:jc w:val="both"/>
        <w:rPr>
          <w:rFonts w:asciiTheme="minorHAnsi" w:hAnsiTheme="minorHAnsi" w:cstheme="minorHAnsi"/>
          <w:bCs/>
          <w:sz w:val="24"/>
          <w:szCs w:val="24"/>
        </w:rPr>
      </w:pPr>
      <w:r w:rsidRPr="003F7082">
        <w:rPr>
          <w:rFonts w:asciiTheme="minorHAnsi" w:hAnsiTheme="minorHAnsi" w:cstheme="minorHAnsi"/>
          <w:bCs/>
          <w:sz w:val="24"/>
          <w:szCs w:val="24"/>
        </w:rPr>
        <w:t>O produto tem por finalidade a ventilação e/ou circulação de ar, em médios ou pequenos ambientes, podendo ser colocado sobre a mesa, sobre o solo ou outras superfícies.</w:t>
      </w:r>
    </w:p>
    <w:p w14:paraId="2960019F" w14:textId="77777777" w:rsidR="00205634" w:rsidRPr="008C6478" w:rsidRDefault="00205634" w:rsidP="00205634">
      <w:pPr>
        <w:ind w:left="-142" w:right="-199"/>
        <w:jc w:val="both"/>
        <w:rPr>
          <w:rFonts w:asciiTheme="minorHAnsi" w:hAnsiTheme="minorHAnsi" w:cstheme="minorHAnsi"/>
          <w:sz w:val="24"/>
          <w:szCs w:val="24"/>
        </w:rPr>
      </w:pPr>
    </w:p>
    <w:p w14:paraId="632AE895" w14:textId="77777777" w:rsidR="00205634" w:rsidRPr="008C6478" w:rsidRDefault="00205634" w:rsidP="00205634">
      <w:pPr>
        <w:pStyle w:val="Recuodecorpodetexto"/>
        <w:ind w:left="-142" w:right="-199" w:firstLine="0"/>
        <w:rPr>
          <w:rFonts w:asciiTheme="minorHAnsi" w:hAnsiTheme="minorHAnsi" w:cstheme="minorHAnsi"/>
          <w:bCs/>
          <w:sz w:val="24"/>
          <w:szCs w:val="24"/>
        </w:rPr>
      </w:pPr>
      <w:r w:rsidRPr="008C6478">
        <w:rPr>
          <w:rFonts w:asciiTheme="minorHAnsi" w:hAnsiTheme="minorHAnsi" w:cstheme="minorHAnsi"/>
          <w:b/>
          <w:bCs/>
          <w:sz w:val="24"/>
          <w:szCs w:val="24"/>
        </w:rPr>
        <w:t>ii)</w:t>
      </w:r>
      <w:r w:rsidRPr="008C6478">
        <w:rPr>
          <w:rFonts w:asciiTheme="minorHAnsi" w:hAnsiTheme="minorHAnsi" w:cstheme="minorHAnsi"/>
          <w:bCs/>
          <w:sz w:val="24"/>
          <w:szCs w:val="24"/>
        </w:rPr>
        <w:tab/>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dumping:</w:t>
      </w:r>
    </w:p>
    <w:p w14:paraId="00298256"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4ED057C9" w14:textId="77777777" w:rsidR="003F7082" w:rsidRPr="003523DA" w:rsidRDefault="003F7082" w:rsidP="003F7082">
      <w:pPr>
        <w:ind w:left="1080"/>
        <w:jc w:val="both"/>
        <w:rPr>
          <w:rFonts w:asciiTheme="minorHAnsi" w:hAnsiTheme="minorHAnsi" w:cstheme="minorHAnsi"/>
          <w:b/>
          <w:bCs/>
          <w:szCs w:val="24"/>
        </w:rPr>
      </w:pPr>
      <w:r w:rsidRPr="003523DA">
        <w:rPr>
          <w:rFonts w:asciiTheme="minorHAnsi" w:hAnsiTheme="minorHAnsi" w:cstheme="minorHAnsi"/>
          <w:b/>
          <w:bCs/>
          <w:szCs w:val="24"/>
        </w:rPr>
        <w:t>Outubro de 2022 a setembro de 2023.</w:t>
      </w:r>
    </w:p>
    <w:p w14:paraId="01E4848F" w14:textId="77777777" w:rsidR="00205634" w:rsidRPr="008C6478" w:rsidRDefault="00205634" w:rsidP="00205634">
      <w:pPr>
        <w:ind w:left="-142" w:right="-199"/>
        <w:jc w:val="both"/>
        <w:rPr>
          <w:rFonts w:asciiTheme="minorHAnsi" w:hAnsiTheme="minorHAnsi" w:cstheme="minorHAnsi"/>
          <w:b/>
          <w:sz w:val="24"/>
          <w:szCs w:val="24"/>
        </w:rPr>
      </w:pPr>
    </w:p>
    <w:p w14:paraId="36BE094A" w14:textId="77777777" w:rsidR="00205634" w:rsidRPr="008C6478" w:rsidRDefault="00205634" w:rsidP="00205634">
      <w:pPr>
        <w:ind w:left="-142" w:right="-199"/>
        <w:jc w:val="both"/>
        <w:rPr>
          <w:rFonts w:asciiTheme="minorHAnsi" w:hAnsiTheme="minorHAnsi" w:cstheme="minorHAnsi"/>
          <w:b/>
          <w:sz w:val="24"/>
          <w:szCs w:val="24"/>
        </w:rPr>
      </w:pPr>
    </w:p>
    <w:p w14:paraId="33771D39" w14:textId="77777777" w:rsidR="00205634" w:rsidRPr="008C6478" w:rsidRDefault="00205634" w:rsidP="00205634">
      <w:pPr>
        <w:pStyle w:val="Recuodecorpodetexto"/>
        <w:ind w:left="-142" w:right="-199" w:firstLine="0"/>
        <w:rPr>
          <w:rFonts w:asciiTheme="minorHAnsi" w:hAnsiTheme="minorHAnsi" w:cstheme="minorHAnsi"/>
          <w:bCs/>
          <w:sz w:val="24"/>
          <w:szCs w:val="24"/>
        </w:rPr>
      </w:pPr>
      <w:r w:rsidRPr="008C6478">
        <w:rPr>
          <w:rFonts w:asciiTheme="minorHAnsi" w:hAnsiTheme="minorHAnsi" w:cstheme="minorHAnsi"/>
          <w:b/>
          <w:bCs/>
          <w:sz w:val="24"/>
          <w:szCs w:val="24"/>
        </w:rPr>
        <w:t>iii)</w:t>
      </w:r>
      <w:r w:rsidRPr="008C6478">
        <w:rPr>
          <w:rFonts w:asciiTheme="minorHAnsi" w:hAnsiTheme="minorHAnsi" w:cstheme="minorHAnsi"/>
          <w:b/>
          <w:bCs/>
          <w:sz w:val="24"/>
          <w:szCs w:val="24"/>
        </w:rPr>
        <w:tab/>
      </w:r>
      <w:r w:rsidRPr="008C6478">
        <w:rPr>
          <w:rFonts w:asciiTheme="minorHAnsi" w:hAnsiTheme="minorHAnsi" w:cstheme="minorHAnsi"/>
          <w:bCs/>
          <w:sz w:val="24"/>
          <w:szCs w:val="24"/>
        </w:rPr>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dano:</w:t>
      </w:r>
    </w:p>
    <w:p w14:paraId="7BA8ED2B"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460BEBF9" w14:textId="77777777" w:rsidR="003F7082" w:rsidRPr="00AC6BB5" w:rsidRDefault="003F7082" w:rsidP="003F7082">
      <w:pPr>
        <w:jc w:val="both"/>
        <w:rPr>
          <w:rFonts w:asciiTheme="minorHAnsi" w:hAnsiTheme="minorHAnsi" w:cstheme="minorHAnsi"/>
          <w:szCs w:val="24"/>
        </w:rPr>
      </w:pPr>
      <w:r w:rsidRPr="00860D11">
        <w:rPr>
          <w:rFonts w:asciiTheme="minorHAnsi" w:hAnsiTheme="minorHAnsi" w:cstheme="minorHAnsi"/>
          <w:b/>
          <w:szCs w:val="24"/>
        </w:rPr>
        <w:t xml:space="preserve">Outubro de 2018 a setembro de 2023, </w:t>
      </w:r>
      <w:r w:rsidRPr="00860D11">
        <w:rPr>
          <w:rFonts w:asciiTheme="minorHAnsi" w:hAnsiTheme="minorHAnsi" w:cstheme="minorHAnsi"/>
          <w:szCs w:val="24"/>
        </w:rPr>
        <w:t xml:space="preserve">dividido </w:t>
      </w:r>
      <w:r w:rsidRPr="00AC6BB5">
        <w:rPr>
          <w:rFonts w:asciiTheme="minorHAnsi" w:hAnsiTheme="minorHAnsi" w:cstheme="minorHAnsi"/>
          <w:szCs w:val="24"/>
        </w:rPr>
        <w:t>em cinco períodos, conforme especificado abaixo:</w:t>
      </w:r>
    </w:p>
    <w:p w14:paraId="52688387" w14:textId="77777777" w:rsidR="003F7082" w:rsidRDefault="003F7082" w:rsidP="003F7082">
      <w:pPr>
        <w:spacing w:line="360" w:lineRule="auto"/>
        <w:jc w:val="both"/>
        <w:rPr>
          <w:rFonts w:asciiTheme="minorHAnsi" w:hAnsiTheme="minorHAnsi" w:cstheme="minorHAnsi"/>
          <w:szCs w:val="24"/>
        </w:rPr>
      </w:pPr>
    </w:p>
    <w:p w14:paraId="0E8AA43E" w14:textId="77777777" w:rsidR="003F7082" w:rsidRDefault="003F7082" w:rsidP="003F7082">
      <w:pPr>
        <w:spacing w:line="360" w:lineRule="auto"/>
        <w:ind w:left="708"/>
        <w:jc w:val="both"/>
        <w:rPr>
          <w:rFonts w:asciiTheme="minorHAnsi" w:hAnsiTheme="minorHAnsi" w:cstheme="minorHAnsi"/>
          <w:snapToGrid/>
          <w:sz w:val="22"/>
          <w:szCs w:val="22"/>
        </w:rPr>
      </w:pPr>
      <w:r>
        <w:rPr>
          <w:rFonts w:asciiTheme="minorHAnsi" w:hAnsiTheme="minorHAnsi" w:cstheme="minorHAnsi"/>
          <w:sz w:val="22"/>
          <w:szCs w:val="22"/>
        </w:rPr>
        <w:t>P1 – outubro de 2018 a setembro de 2019;</w:t>
      </w:r>
    </w:p>
    <w:p w14:paraId="77CB9BF6" w14:textId="77777777" w:rsidR="003F7082" w:rsidRDefault="003F7082" w:rsidP="003F7082">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P2 – outubro de 2019 a setembro de 2020;</w:t>
      </w:r>
    </w:p>
    <w:p w14:paraId="592B2A78" w14:textId="77777777" w:rsidR="003F7082" w:rsidRDefault="003F7082" w:rsidP="003F7082">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P3 – outubro de 2020 a setembro de 2021;</w:t>
      </w:r>
    </w:p>
    <w:p w14:paraId="68093268" w14:textId="77777777" w:rsidR="003F7082" w:rsidRDefault="003F7082" w:rsidP="003F7082">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P4 – outubro de 2021 a setembro de 2022; e</w:t>
      </w:r>
    </w:p>
    <w:p w14:paraId="43DFA070" w14:textId="77777777" w:rsidR="003F7082" w:rsidRDefault="003F7082" w:rsidP="003F7082">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P5 – outubro de 2022 a setembro de 2023.</w:t>
      </w:r>
    </w:p>
    <w:p w14:paraId="06E43E14" w14:textId="77777777" w:rsidR="003F7082" w:rsidRDefault="003F7082" w:rsidP="00205634">
      <w:pPr>
        <w:ind w:left="-142" w:right="-199"/>
        <w:jc w:val="both"/>
        <w:rPr>
          <w:rFonts w:asciiTheme="minorHAnsi" w:hAnsiTheme="minorHAnsi" w:cstheme="minorHAnsi"/>
          <w:b/>
          <w:color w:val="FF0000"/>
          <w:sz w:val="24"/>
          <w:szCs w:val="24"/>
        </w:rPr>
      </w:pP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contrato, etc.).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 xml:space="preserve">etc.)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w:t>
      </w:r>
      <w:smartTag w:uri="urn:schemas-microsoft-com:office:smarttags" w:element="PersonName">
        <w:r w:rsidR="00E46F23" w:rsidRPr="008C6478">
          <w:rPr>
            <w:rFonts w:asciiTheme="minorHAnsi" w:hAnsiTheme="minorHAnsi" w:cstheme="minorHAnsi"/>
            <w:sz w:val="24"/>
          </w:rPr>
          <w:t>eu</w:t>
        </w:r>
      </w:smartTag>
      <w:r w:rsidR="00E46F23" w:rsidRPr="008C6478">
        <w:rPr>
          <w:rFonts w:asciiTheme="minorHAnsi" w:hAnsiTheme="minorHAnsi" w:cstheme="minorHAnsi"/>
          <w:sz w:val="24"/>
        </w:rPr>
        <w:t>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r w:rsidR="008001DF" w:rsidRPr="008C6478">
        <w:rPr>
          <w:rFonts w:asciiTheme="minorHAnsi" w:hAnsiTheme="minorHAnsi" w:cstheme="minorHAnsi"/>
          <w:b/>
          <w:sz w:val="24"/>
        </w:rPr>
        <w:t>tolling</w:t>
      </w:r>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tal(is) venda(s) (preço, condições de pagamento, etc.) e a evolução do </w:t>
      </w:r>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8C6478"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8C6478" w:rsidRDefault="00A00973" w:rsidP="00CD5CA6">
      <w:pPr>
        <w:pStyle w:val="PargrafodaLista"/>
        <w:ind w:left="0"/>
        <w:rPr>
          <w:rFonts w:asciiTheme="minorHAnsi" w:hAnsiTheme="minorHAnsi" w:cstheme="minorHAnsi"/>
          <w:sz w:val="24"/>
          <w:szCs w:val="24"/>
        </w:rPr>
      </w:pPr>
    </w:p>
    <w:p w14:paraId="3633EDBD" w14:textId="7B3CE211" w:rsidR="00205634" w:rsidRPr="003F7082"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3F7082">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7909672B" w14:textId="77777777" w:rsidR="003F7082" w:rsidRDefault="003F7082" w:rsidP="003F7082">
      <w:pPr>
        <w:jc w:val="both"/>
        <w:rPr>
          <w:rFonts w:asciiTheme="minorHAnsi" w:hAnsiTheme="minorHAnsi" w:cstheme="minorHAnsi"/>
          <w:color w:val="FF0000"/>
          <w:sz w:val="24"/>
          <w:szCs w:val="24"/>
        </w:rPr>
      </w:pPr>
    </w:p>
    <w:p w14:paraId="59380F2F" w14:textId="77777777" w:rsidR="003F7082" w:rsidRPr="00B503A4" w:rsidRDefault="003F7082" w:rsidP="003F7082">
      <w:pPr>
        <w:jc w:val="both"/>
        <w:rPr>
          <w:rFonts w:asciiTheme="minorHAnsi" w:hAnsiTheme="minorHAnsi" w:cstheme="minorHAnsi"/>
          <w:vertAlign w:val="super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3"/>
        <w:gridCol w:w="1468"/>
        <w:gridCol w:w="1468"/>
        <w:gridCol w:w="1468"/>
        <w:gridCol w:w="1468"/>
        <w:gridCol w:w="1468"/>
        <w:gridCol w:w="1370"/>
      </w:tblGrid>
      <w:tr w:rsidR="003F7082" w:rsidRPr="00B503A4" w14:paraId="661D3876" w14:textId="77777777" w:rsidTr="003F7130">
        <w:trPr>
          <w:trHeight w:val="735"/>
        </w:trPr>
        <w:tc>
          <w:tcPr>
            <w:tcW w:w="715" w:type="pct"/>
            <w:shd w:val="clear" w:color="auto" w:fill="auto"/>
            <w:vAlign w:val="center"/>
          </w:tcPr>
          <w:p w14:paraId="56AB7236" w14:textId="77777777" w:rsidR="003F7082" w:rsidRPr="00B503A4" w:rsidRDefault="003F7082"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CODPROD</w:t>
            </w:r>
          </w:p>
        </w:tc>
        <w:tc>
          <w:tcPr>
            <w:tcW w:w="715" w:type="pct"/>
            <w:shd w:val="clear" w:color="auto" w:fill="auto"/>
            <w:vAlign w:val="center"/>
          </w:tcPr>
          <w:p w14:paraId="0A49704A" w14:textId="77777777" w:rsidR="003F7082" w:rsidRPr="00B503A4" w:rsidRDefault="003F7082"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Característica 1</w:t>
            </w:r>
          </w:p>
          <w:p w14:paraId="3E658539" w14:textId="77777777" w:rsidR="003F7082" w:rsidRPr="00B503A4" w:rsidRDefault="003F7082"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(A1 a A4)</w:t>
            </w:r>
          </w:p>
        </w:tc>
        <w:tc>
          <w:tcPr>
            <w:tcW w:w="715" w:type="pct"/>
            <w:shd w:val="clear" w:color="auto" w:fill="auto"/>
            <w:vAlign w:val="center"/>
          </w:tcPr>
          <w:p w14:paraId="57B4BA57" w14:textId="77777777" w:rsidR="003F7082" w:rsidRPr="00B503A4" w:rsidRDefault="003F7082"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Característica 2</w:t>
            </w:r>
          </w:p>
          <w:p w14:paraId="4B5D8541" w14:textId="77777777" w:rsidR="003F7082" w:rsidRPr="00B503A4" w:rsidRDefault="003F7082"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(B1 a B4)</w:t>
            </w:r>
          </w:p>
        </w:tc>
        <w:tc>
          <w:tcPr>
            <w:tcW w:w="714" w:type="pct"/>
            <w:vAlign w:val="center"/>
          </w:tcPr>
          <w:p w14:paraId="5DCDECCC" w14:textId="77777777" w:rsidR="003F7082" w:rsidRPr="00B503A4" w:rsidRDefault="003F7082"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Característica 3</w:t>
            </w:r>
          </w:p>
          <w:p w14:paraId="40023450" w14:textId="77777777" w:rsidR="003F7082" w:rsidRPr="00B503A4" w:rsidRDefault="003F7082"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(C1 a C3)</w:t>
            </w:r>
          </w:p>
        </w:tc>
        <w:tc>
          <w:tcPr>
            <w:tcW w:w="714" w:type="pct"/>
            <w:vAlign w:val="center"/>
          </w:tcPr>
          <w:p w14:paraId="2F9DB19D" w14:textId="77777777" w:rsidR="003F7082" w:rsidRPr="00B503A4" w:rsidRDefault="003F7082"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Característica 4</w:t>
            </w:r>
          </w:p>
          <w:p w14:paraId="4FB391A0" w14:textId="77777777" w:rsidR="003F7082" w:rsidRPr="00B503A4" w:rsidRDefault="003F7082"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(D1 a D2)</w:t>
            </w:r>
          </w:p>
        </w:tc>
        <w:tc>
          <w:tcPr>
            <w:tcW w:w="714" w:type="pct"/>
            <w:vAlign w:val="center"/>
          </w:tcPr>
          <w:p w14:paraId="36E68CCE" w14:textId="77777777" w:rsidR="003F7082" w:rsidRPr="00B503A4" w:rsidRDefault="003F7082"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Característica 5</w:t>
            </w:r>
          </w:p>
          <w:p w14:paraId="45B480F8" w14:textId="77777777" w:rsidR="003F7082" w:rsidRPr="00B503A4" w:rsidRDefault="003F7082"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(E1 a E2)</w:t>
            </w:r>
          </w:p>
        </w:tc>
        <w:tc>
          <w:tcPr>
            <w:tcW w:w="713" w:type="pct"/>
            <w:shd w:val="clear" w:color="auto" w:fill="auto"/>
            <w:vAlign w:val="center"/>
          </w:tcPr>
          <w:p w14:paraId="38C48488" w14:textId="77777777" w:rsidR="003F7082" w:rsidRPr="00B503A4" w:rsidRDefault="003F7082" w:rsidP="003F7130">
            <w:pPr>
              <w:widowControl/>
              <w:jc w:val="center"/>
              <w:rPr>
                <w:rFonts w:asciiTheme="minorHAnsi" w:hAnsiTheme="minorHAnsi" w:cstheme="minorHAnsi"/>
                <w:bCs/>
                <w:snapToGrid/>
                <w:sz w:val="24"/>
                <w:szCs w:val="24"/>
              </w:rPr>
            </w:pPr>
            <w:proofErr w:type="spellStart"/>
            <w:r w:rsidRPr="00B503A4">
              <w:rPr>
                <w:rFonts w:asciiTheme="minorHAnsi" w:hAnsiTheme="minorHAnsi" w:cstheme="minorHAnsi"/>
                <w:bCs/>
                <w:snapToGrid/>
                <w:sz w:val="24"/>
                <w:szCs w:val="24"/>
              </w:rPr>
              <w:t>CODIP</w:t>
            </w:r>
            <w:r w:rsidRPr="00B503A4">
              <w:rPr>
                <w:rFonts w:asciiTheme="minorHAnsi" w:hAnsiTheme="minorHAnsi" w:cstheme="minorHAnsi"/>
                <w:bCs/>
                <w:snapToGrid/>
                <w:sz w:val="24"/>
                <w:szCs w:val="24"/>
                <w:vertAlign w:val="superscript"/>
              </w:rPr>
              <w:t>a</w:t>
            </w:r>
            <w:proofErr w:type="spellEnd"/>
          </w:p>
        </w:tc>
      </w:tr>
      <w:tr w:rsidR="003F7082" w:rsidRPr="00B503A4" w14:paraId="08CC0C2F" w14:textId="77777777" w:rsidTr="003F7130">
        <w:trPr>
          <w:trHeight w:val="360"/>
        </w:trPr>
        <w:tc>
          <w:tcPr>
            <w:tcW w:w="715" w:type="pct"/>
            <w:shd w:val="clear" w:color="auto" w:fill="auto"/>
            <w:noWrap/>
            <w:vAlign w:val="bottom"/>
          </w:tcPr>
          <w:p w14:paraId="0A0BE5A8" w14:textId="77777777" w:rsidR="003F7082" w:rsidRPr="00B503A4" w:rsidRDefault="003F7082"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5" w:type="pct"/>
            <w:shd w:val="clear" w:color="auto" w:fill="auto"/>
            <w:noWrap/>
            <w:vAlign w:val="bottom"/>
          </w:tcPr>
          <w:p w14:paraId="057608E5" w14:textId="77777777" w:rsidR="003F7082" w:rsidRPr="00B503A4" w:rsidRDefault="003F7082"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5" w:type="pct"/>
            <w:shd w:val="clear" w:color="auto" w:fill="auto"/>
            <w:noWrap/>
            <w:vAlign w:val="bottom"/>
          </w:tcPr>
          <w:p w14:paraId="1C3FE8C6" w14:textId="77777777" w:rsidR="003F7082" w:rsidRPr="00B503A4" w:rsidRDefault="003F7082"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4" w:type="pct"/>
            <w:vAlign w:val="bottom"/>
          </w:tcPr>
          <w:p w14:paraId="5AD1B484" w14:textId="77777777" w:rsidR="003F7082" w:rsidRPr="00B503A4" w:rsidRDefault="003F7082"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4" w:type="pct"/>
          </w:tcPr>
          <w:p w14:paraId="3A071BD2" w14:textId="77777777" w:rsidR="003F7082" w:rsidRPr="00B503A4" w:rsidRDefault="003F7082" w:rsidP="003F7130">
            <w:pPr>
              <w:widowControl/>
              <w:rPr>
                <w:rFonts w:asciiTheme="minorHAnsi" w:hAnsiTheme="minorHAnsi" w:cstheme="minorHAnsi"/>
                <w:snapToGrid/>
                <w:sz w:val="24"/>
                <w:szCs w:val="24"/>
              </w:rPr>
            </w:pPr>
          </w:p>
        </w:tc>
        <w:tc>
          <w:tcPr>
            <w:tcW w:w="714" w:type="pct"/>
          </w:tcPr>
          <w:p w14:paraId="3DC32866" w14:textId="77777777" w:rsidR="003F7082" w:rsidRPr="00B503A4" w:rsidRDefault="003F7082" w:rsidP="003F7130">
            <w:pPr>
              <w:widowControl/>
              <w:rPr>
                <w:rFonts w:asciiTheme="minorHAnsi" w:hAnsiTheme="minorHAnsi" w:cstheme="minorHAnsi"/>
                <w:snapToGrid/>
                <w:sz w:val="24"/>
                <w:szCs w:val="24"/>
              </w:rPr>
            </w:pPr>
          </w:p>
        </w:tc>
        <w:tc>
          <w:tcPr>
            <w:tcW w:w="713" w:type="pct"/>
            <w:shd w:val="clear" w:color="auto" w:fill="auto"/>
            <w:noWrap/>
            <w:vAlign w:val="bottom"/>
          </w:tcPr>
          <w:p w14:paraId="02F1941F" w14:textId="77777777" w:rsidR="003F7082" w:rsidRPr="00B503A4" w:rsidRDefault="003F7082"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r>
      <w:tr w:rsidR="003F7082" w:rsidRPr="00B503A4" w14:paraId="7E07F969" w14:textId="77777777" w:rsidTr="003F7130">
        <w:trPr>
          <w:trHeight w:val="360"/>
        </w:trPr>
        <w:tc>
          <w:tcPr>
            <w:tcW w:w="715" w:type="pct"/>
            <w:shd w:val="clear" w:color="auto" w:fill="auto"/>
            <w:noWrap/>
            <w:vAlign w:val="bottom"/>
          </w:tcPr>
          <w:p w14:paraId="16FC0CEB" w14:textId="77777777" w:rsidR="003F7082" w:rsidRPr="00B503A4" w:rsidRDefault="003F7082"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5" w:type="pct"/>
            <w:shd w:val="clear" w:color="auto" w:fill="auto"/>
            <w:noWrap/>
            <w:vAlign w:val="bottom"/>
          </w:tcPr>
          <w:p w14:paraId="5E88536D" w14:textId="77777777" w:rsidR="003F7082" w:rsidRPr="00B503A4" w:rsidRDefault="003F7082"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5" w:type="pct"/>
            <w:shd w:val="clear" w:color="auto" w:fill="auto"/>
            <w:noWrap/>
            <w:vAlign w:val="bottom"/>
          </w:tcPr>
          <w:p w14:paraId="2EF552CE" w14:textId="77777777" w:rsidR="003F7082" w:rsidRPr="00B503A4" w:rsidRDefault="003F7082"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4" w:type="pct"/>
            <w:vAlign w:val="bottom"/>
          </w:tcPr>
          <w:p w14:paraId="14766EAC" w14:textId="77777777" w:rsidR="003F7082" w:rsidRPr="00B503A4" w:rsidRDefault="003F7082"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4" w:type="pct"/>
          </w:tcPr>
          <w:p w14:paraId="1E807B0D" w14:textId="77777777" w:rsidR="003F7082" w:rsidRPr="00B503A4" w:rsidRDefault="003F7082" w:rsidP="003F7130">
            <w:pPr>
              <w:widowControl/>
              <w:rPr>
                <w:rFonts w:asciiTheme="minorHAnsi" w:hAnsiTheme="minorHAnsi" w:cstheme="minorHAnsi"/>
                <w:snapToGrid/>
                <w:sz w:val="24"/>
                <w:szCs w:val="24"/>
              </w:rPr>
            </w:pPr>
          </w:p>
        </w:tc>
        <w:tc>
          <w:tcPr>
            <w:tcW w:w="714" w:type="pct"/>
          </w:tcPr>
          <w:p w14:paraId="41FD6EE6" w14:textId="77777777" w:rsidR="003F7082" w:rsidRPr="00B503A4" w:rsidRDefault="003F7082" w:rsidP="003F7130">
            <w:pPr>
              <w:widowControl/>
              <w:rPr>
                <w:rFonts w:asciiTheme="minorHAnsi" w:hAnsiTheme="minorHAnsi" w:cstheme="minorHAnsi"/>
                <w:snapToGrid/>
                <w:sz w:val="24"/>
                <w:szCs w:val="24"/>
              </w:rPr>
            </w:pPr>
          </w:p>
        </w:tc>
        <w:tc>
          <w:tcPr>
            <w:tcW w:w="713" w:type="pct"/>
            <w:shd w:val="clear" w:color="auto" w:fill="auto"/>
            <w:noWrap/>
            <w:vAlign w:val="bottom"/>
          </w:tcPr>
          <w:p w14:paraId="32944AD7" w14:textId="77777777" w:rsidR="003F7082" w:rsidRPr="00B503A4" w:rsidRDefault="003F7082"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r>
    </w:tbl>
    <w:p w14:paraId="12F83326" w14:textId="77777777" w:rsidR="003F7082" w:rsidRPr="00B503A4" w:rsidRDefault="003F7082" w:rsidP="003F7082">
      <w:pPr>
        <w:jc w:val="both"/>
        <w:rPr>
          <w:rFonts w:asciiTheme="minorHAnsi" w:hAnsiTheme="minorHAnsi" w:cstheme="minorHAnsi"/>
        </w:rPr>
      </w:pPr>
      <w:r w:rsidRPr="00B503A4">
        <w:rPr>
          <w:rFonts w:asciiTheme="minorHAnsi" w:hAnsiTheme="minorHAnsi" w:cstheme="minorHAnsi"/>
          <w:vertAlign w:val="superscript"/>
        </w:rPr>
        <w:t xml:space="preserve">a </w:t>
      </w:r>
      <w:r w:rsidRPr="00B503A4">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6CEF1F9" w14:textId="77777777" w:rsidR="003F7082" w:rsidRPr="00B503A4" w:rsidRDefault="003F7082" w:rsidP="003F7082">
      <w:pPr>
        <w:pStyle w:val="PargrafodaLista"/>
        <w:ind w:left="0"/>
        <w:rPr>
          <w:rFonts w:asciiTheme="minorHAnsi" w:hAnsiTheme="minorHAnsi" w:cstheme="minorHAnsi"/>
          <w:sz w:val="24"/>
          <w:szCs w:val="24"/>
        </w:rPr>
      </w:pPr>
    </w:p>
    <w:p w14:paraId="5C25CDFF" w14:textId="77777777" w:rsidR="003F7082" w:rsidRPr="00B503A4" w:rsidRDefault="003F7082" w:rsidP="003F7082">
      <w:pPr>
        <w:widowControl/>
        <w:ind w:right="-199"/>
        <w:rPr>
          <w:rFonts w:asciiTheme="minorHAnsi" w:hAnsiTheme="minorHAnsi" w:cstheme="minorHAnsi"/>
          <w:sz w:val="24"/>
          <w:szCs w:val="24"/>
          <w:u w:val="single"/>
        </w:rPr>
      </w:pPr>
      <w:bookmarkStart w:id="16" w:name="_Hlk519502859"/>
      <w:r w:rsidRPr="00B503A4">
        <w:rPr>
          <w:rFonts w:asciiTheme="minorHAnsi" w:hAnsiTheme="minorHAnsi" w:cstheme="minorHAnsi"/>
          <w:sz w:val="24"/>
          <w:szCs w:val="24"/>
          <w:u w:val="single"/>
        </w:rPr>
        <w:t>Característica 1: Tamanho</w:t>
      </w:r>
    </w:p>
    <w:p w14:paraId="315CA919" w14:textId="77777777" w:rsidR="003F7082" w:rsidRPr="00B503A4" w:rsidRDefault="003F7082" w:rsidP="003F7082">
      <w:pPr>
        <w:widowControl/>
        <w:ind w:right="-199"/>
        <w:rPr>
          <w:rFonts w:asciiTheme="minorHAnsi" w:hAnsiTheme="minorHAnsi" w:cstheme="minorHAnsi"/>
          <w:b/>
          <w:sz w:val="24"/>
          <w:szCs w:val="24"/>
        </w:rPr>
      </w:pPr>
    </w:p>
    <w:tbl>
      <w:tblPr>
        <w:tblW w:w="5000" w:type="pct"/>
        <w:jc w:val="center"/>
        <w:tblCellMar>
          <w:left w:w="70" w:type="dxa"/>
          <w:right w:w="70" w:type="dxa"/>
        </w:tblCellMar>
        <w:tblLook w:val="04A0" w:firstRow="1" w:lastRow="0" w:firstColumn="1" w:lastColumn="0" w:noHBand="0" w:noVBand="1"/>
      </w:tblPr>
      <w:tblGrid>
        <w:gridCol w:w="8851"/>
        <w:gridCol w:w="1212"/>
      </w:tblGrid>
      <w:tr w:rsidR="003F7082" w:rsidRPr="00B503A4" w14:paraId="0FBD708E" w14:textId="77777777" w:rsidTr="003F7130">
        <w:trPr>
          <w:trHeight w:val="50"/>
          <w:jc w:val="center"/>
        </w:trPr>
        <w:tc>
          <w:tcPr>
            <w:tcW w:w="439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ACFE86B" w14:textId="77777777" w:rsidR="003F7082" w:rsidRPr="00B503A4" w:rsidRDefault="003F7082"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Especificação</w:t>
            </w:r>
          </w:p>
        </w:tc>
        <w:tc>
          <w:tcPr>
            <w:tcW w:w="60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5141D86" w14:textId="77777777" w:rsidR="003F7082" w:rsidRPr="00B503A4" w:rsidRDefault="003F7082"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Código</w:t>
            </w:r>
          </w:p>
        </w:tc>
      </w:tr>
      <w:tr w:rsidR="003F7082" w:rsidRPr="00B503A4" w14:paraId="36265657" w14:textId="77777777" w:rsidTr="003F7130">
        <w:trPr>
          <w:trHeight w:val="315"/>
          <w:jc w:val="center"/>
        </w:trPr>
        <w:tc>
          <w:tcPr>
            <w:tcW w:w="4398" w:type="pct"/>
            <w:tcBorders>
              <w:top w:val="nil"/>
              <w:left w:val="single" w:sz="12" w:space="0" w:color="auto"/>
              <w:bottom w:val="single" w:sz="8" w:space="0" w:color="auto"/>
              <w:right w:val="single" w:sz="12" w:space="0" w:color="auto"/>
            </w:tcBorders>
            <w:shd w:val="clear" w:color="auto" w:fill="auto"/>
            <w:noWrap/>
          </w:tcPr>
          <w:p w14:paraId="7193A703"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De 15,0 cm a 29,50 cm (incluindo 29,50 cm)</w:t>
            </w:r>
          </w:p>
        </w:tc>
        <w:tc>
          <w:tcPr>
            <w:tcW w:w="602" w:type="pct"/>
            <w:tcBorders>
              <w:top w:val="nil"/>
              <w:left w:val="single" w:sz="12" w:space="0" w:color="auto"/>
              <w:bottom w:val="single" w:sz="8" w:space="0" w:color="auto"/>
              <w:right w:val="single" w:sz="12" w:space="0" w:color="auto"/>
            </w:tcBorders>
            <w:shd w:val="clear" w:color="auto" w:fill="auto"/>
            <w:noWrap/>
            <w:vAlign w:val="center"/>
          </w:tcPr>
          <w:p w14:paraId="487B1D78"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A1</w:t>
            </w:r>
          </w:p>
        </w:tc>
      </w:tr>
      <w:tr w:rsidR="003F7082" w:rsidRPr="00B503A4" w14:paraId="03FEF5F3" w14:textId="77777777" w:rsidTr="003F7130">
        <w:trPr>
          <w:trHeight w:val="315"/>
          <w:jc w:val="center"/>
        </w:trPr>
        <w:tc>
          <w:tcPr>
            <w:tcW w:w="4398" w:type="pct"/>
            <w:tcBorders>
              <w:top w:val="single" w:sz="8" w:space="0" w:color="auto"/>
              <w:left w:val="single" w:sz="12" w:space="0" w:color="auto"/>
              <w:bottom w:val="single" w:sz="4" w:space="0" w:color="auto"/>
              <w:right w:val="single" w:sz="12" w:space="0" w:color="auto"/>
            </w:tcBorders>
            <w:shd w:val="clear" w:color="auto" w:fill="auto"/>
            <w:noWrap/>
          </w:tcPr>
          <w:p w14:paraId="77CB27F6"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Acima de 29,50 cm a 39,50 cm (incluindo 39,50 cm)</w:t>
            </w:r>
          </w:p>
        </w:tc>
        <w:tc>
          <w:tcPr>
            <w:tcW w:w="602" w:type="pct"/>
            <w:tcBorders>
              <w:top w:val="single" w:sz="8" w:space="0" w:color="auto"/>
              <w:left w:val="single" w:sz="12" w:space="0" w:color="auto"/>
              <w:bottom w:val="single" w:sz="4" w:space="0" w:color="auto"/>
              <w:right w:val="single" w:sz="12" w:space="0" w:color="auto"/>
            </w:tcBorders>
            <w:shd w:val="clear" w:color="auto" w:fill="auto"/>
            <w:noWrap/>
            <w:vAlign w:val="center"/>
          </w:tcPr>
          <w:p w14:paraId="47C8F8D6"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A2</w:t>
            </w:r>
          </w:p>
        </w:tc>
      </w:tr>
      <w:tr w:rsidR="003F7082" w:rsidRPr="00B503A4" w14:paraId="3C82B09B" w14:textId="77777777" w:rsidTr="003F7130">
        <w:trPr>
          <w:trHeight w:val="315"/>
          <w:jc w:val="center"/>
        </w:trPr>
        <w:tc>
          <w:tcPr>
            <w:tcW w:w="4398" w:type="pct"/>
            <w:tcBorders>
              <w:top w:val="single" w:sz="4" w:space="0" w:color="auto"/>
              <w:left w:val="single" w:sz="12" w:space="0" w:color="auto"/>
              <w:bottom w:val="single" w:sz="8" w:space="0" w:color="auto"/>
              <w:right w:val="single" w:sz="12" w:space="0" w:color="auto"/>
            </w:tcBorders>
            <w:shd w:val="clear" w:color="auto" w:fill="auto"/>
            <w:noWrap/>
          </w:tcPr>
          <w:p w14:paraId="672E1456"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Acima de 39,50 cm a 49,50 cm (incluindo 49,50 cm)</w:t>
            </w:r>
          </w:p>
        </w:tc>
        <w:tc>
          <w:tcPr>
            <w:tcW w:w="602" w:type="pct"/>
            <w:tcBorders>
              <w:top w:val="single" w:sz="4" w:space="0" w:color="auto"/>
              <w:left w:val="single" w:sz="12" w:space="0" w:color="auto"/>
              <w:bottom w:val="single" w:sz="8" w:space="0" w:color="auto"/>
              <w:right w:val="single" w:sz="12" w:space="0" w:color="auto"/>
            </w:tcBorders>
            <w:shd w:val="clear" w:color="auto" w:fill="auto"/>
            <w:noWrap/>
            <w:vAlign w:val="center"/>
          </w:tcPr>
          <w:p w14:paraId="6DCF15C2"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A3</w:t>
            </w:r>
          </w:p>
        </w:tc>
      </w:tr>
      <w:tr w:rsidR="003F7082" w:rsidRPr="00B503A4" w14:paraId="36D8A99E" w14:textId="77777777" w:rsidTr="003F7130">
        <w:trPr>
          <w:trHeight w:val="315"/>
          <w:jc w:val="center"/>
        </w:trPr>
        <w:tc>
          <w:tcPr>
            <w:tcW w:w="4398" w:type="pct"/>
            <w:tcBorders>
              <w:top w:val="nil"/>
              <w:left w:val="single" w:sz="12" w:space="0" w:color="auto"/>
              <w:bottom w:val="single" w:sz="8" w:space="0" w:color="auto"/>
              <w:right w:val="single" w:sz="12" w:space="0" w:color="auto"/>
            </w:tcBorders>
            <w:shd w:val="clear" w:color="auto" w:fill="auto"/>
            <w:noWrap/>
          </w:tcPr>
          <w:p w14:paraId="7CBE1155"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Acima de 49,50 cm</w:t>
            </w:r>
          </w:p>
        </w:tc>
        <w:tc>
          <w:tcPr>
            <w:tcW w:w="602" w:type="pct"/>
            <w:tcBorders>
              <w:top w:val="nil"/>
              <w:left w:val="single" w:sz="12" w:space="0" w:color="auto"/>
              <w:bottom w:val="single" w:sz="8" w:space="0" w:color="auto"/>
              <w:right w:val="single" w:sz="12" w:space="0" w:color="auto"/>
            </w:tcBorders>
            <w:shd w:val="clear" w:color="auto" w:fill="auto"/>
            <w:noWrap/>
            <w:vAlign w:val="center"/>
          </w:tcPr>
          <w:p w14:paraId="22ABE0B8"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A4</w:t>
            </w:r>
          </w:p>
        </w:tc>
      </w:tr>
    </w:tbl>
    <w:p w14:paraId="30EFE3C6" w14:textId="77777777" w:rsidR="003F7082" w:rsidRPr="00B503A4" w:rsidRDefault="003F7082" w:rsidP="003F7082">
      <w:pPr>
        <w:widowControl/>
        <w:ind w:right="-199"/>
        <w:jc w:val="both"/>
        <w:rPr>
          <w:rFonts w:asciiTheme="minorHAnsi" w:hAnsiTheme="minorHAnsi" w:cstheme="minorHAnsi"/>
          <w:iCs/>
          <w:sz w:val="24"/>
        </w:rPr>
      </w:pPr>
    </w:p>
    <w:p w14:paraId="7E01E071" w14:textId="77777777" w:rsidR="003F7082" w:rsidRPr="00B503A4" w:rsidRDefault="003F7082" w:rsidP="003F7082">
      <w:pPr>
        <w:widowControl/>
        <w:ind w:right="-199"/>
        <w:rPr>
          <w:rFonts w:asciiTheme="minorHAnsi" w:hAnsiTheme="minorHAnsi" w:cstheme="minorHAnsi"/>
          <w:sz w:val="24"/>
          <w:szCs w:val="24"/>
          <w:u w:val="single"/>
        </w:rPr>
      </w:pPr>
      <w:r w:rsidRPr="00B503A4">
        <w:rPr>
          <w:rFonts w:asciiTheme="minorHAnsi" w:hAnsiTheme="minorHAnsi" w:cstheme="minorHAnsi"/>
          <w:sz w:val="24"/>
          <w:szCs w:val="24"/>
          <w:u w:val="single"/>
        </w:rPr>
        <w:t>Característica 2: Potência</w:t>
      </w:r>
    </w:p>
    <w:p w14:paraId="290C5420" w14:textId="77777777" w:rsidR="003F7082" w:rsidRPr="00B503A4" w:rsidRDefault="003F7082" w:rsidP="003F7082">
      <w:pPr>
        <w:widowControl/>
        <w:ind w:right="-199"/>
        <w:rPr>
          <w:rFonts w:asciiTheme="minorHAnsi" w:hAnsiTheme="minorHAnsi" w:cstheme="minorHAnsi"/>
          <w:b/>
          <w:sz w:val="24"/>
          <w:szCs w:val="24"/>
        </w:rPr>
      </w:pPr>
    </w:p>
    <w:tbl>
      <w:tblPr>
        <w:tblW w:w="5000" w:type="pct"/>
        <w:jc w:val="center"/>
        <w:tblCellMar>
          <w:left w:w="70" w:type="dxa"/>
          <w:right w:w="70" w:type="dxa"/>
        </w:tblCellMar>
        <w:tblLook w:val="04A0" w:firstRow="1" w:lastRow="0" w:firstColumn="1" w:lastColumn="0" w:noHBand="0" w:noVBand="1"/>
      </w:tblPr>
      <w:tblGrid>
        <w:gridCol w:w="8763"/>
        <w:gridCol w:w="1300"/>
      </w:tblGrid>
      <w:tr w:rsidR="003F7082" w:rsidRPr="00B503A4" w14:paraId="7648ED0C"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90419E1" w14:textId="77777777" w:rsidR="003F7082" w:rsidRPr="00B503A4" w:rsidRDefault="003F7082"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Especificação</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D61A6CE" w14:textId="77777777" w:rsidR="003F7082" w:rsidRPr="00B503A4" w:rsidRDefault="003F7082"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Código</w:t>
            </w:r>
          </w:p>
        </w:tc>
      </w:tr>
      <w:tr w:rsidR="003F7082" w:rsidRPr="00B503A4" w14:paraId="67755FA1"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66BAD8BF"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Até 30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291A0D1A"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B1</w:t>
            </w:r>
          </w:p>
        </w:tc>
      </w:tr>
      <w:tr w:rsidR="003F7082" w:rsidRPr="00B503A4" w14:paraId="74898A50"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1CE2A4BE"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De 31 W até 60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3DD6CD2A"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B2</w:t>
            </w:r>
          </w:p>
        </w:tc>
      </w:tr>
      <w:tr w:rsidR="003F7082" w:rsidRPr="00B503A4" w14:paraId="344EE44D"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5B8C18E5"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De 61 W até 90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28A3F085"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B3</w:t>
            </w:r>
          </w:p>
        </w:tc>
      </w:tr>
      <w:tr w:rsidR="003F7082" w:rsidRPr="00B503A4" w14:paraId="0C904EA7"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51992A79"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De 91 W até 125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7BFF4F40"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B4</w:t>
            </w:r>
          </w:p>
        </w:tc>
      </w:tr>
    </w:tbl>
    <w:p w14:paraId="17260EA6" w14:textId="77777777" w:rsidR="003F7082" w:rsidRPr="00B503A4" w:rsidRDefault="003F7082" w:rsidP="003F7082">
      <w:pPr>
        <w:widowControl/>
        <w:ind w:right="-199"/>
        <w:jc w:val="both"/>
        <w:rPr>
          <w:rFonts w:asciiTheme="minorHAnsi" w:hAnsiTheme="minorHAnsi" w:cstheme="minorHAnsi"/>
          <w:iCs/>
          <w:sz w:val="24"/>
        </w:rPr>
      </w:pPr>
    </w:p>
    <w:p w14:paraId="2A0CAFB4" w14:textId="77777777" w:rsidR="003F7082" w:rsidRPr="00B503A4" w:rsidRDefault="003F7082" w:rsidP="003F7082">
      <w:pPr>
        <w:widowControl/>
        <w:ind w:right="-199"/>
        <w:rPr>
          <w:rFonts w:asciiTheme="minorHAnsi" w:hAnsiTheme="minorHAnsi" w:cstheme="minorHAnsi"/>
          <w:sz w:val="24"/>
          <w:szCs w:val="24"/>
          <w:u w:val="single"/>
        </w:rPr>
      </w:pPr>
      <w:r w:rsidRPr="00B503A4">
        <w:rPr>
          <w:rFonts w:asciiTheme="minorHAnsi" w:hAnsiTheme="minorHAnsi" w:cstheme="minorHAnsi"/>
          <w:sz w:val="24"/>
          <w:szCs w:val="24"/>
          <w:u w:val="single"/>
        </w:rPr>
        <w:t>Característica 3: Tipo de revestimento</w:t>
      </w:r>
    </w:p>
    <w:p w14:paraId="43BD451D" w14:textId="77777777" w:rsidR="003F7082" w:rsidRPr="00B503A4" w:rsidRDefault="003F7082" w:rsidP="003F7082">
      <w:pPr>
        <w:widowControl/>
        <w:ind w:right="-199"/>
        <w:rPr>
          <w:rFonts w:asciiTheme="minorHAnsi" w:hAnsiTheme="minorHAnsi" w:cstheme="minorHAnsi"/>
          <w:b/>
          <w:sz w:val="24"/>
          <w:szCs w:val="24"/>
        </w:rPr>
      </w:pPr>
    </w:p>
    <w:tbl>
      <w:tblPr>
        <w:tblW w:w="5000" w:type="pct"/>
        <w:jc w:val="center"/>
        <w:tblCellMar>
          <w:left w:w="70" w:type="dxa"/>
          <w:right w:w="70" w:type="dxa"/>
        </w:tblCellMar>
        <w:tblLook w:val="04A0" w:firstRow="1" w:lastRow="0" w:firstColumn="1" w:lastColumn="0" w:noHBand="0" w:noVBand="1"/>
      </w:tblPr>
      <w:tblGrid>
        <w:gridCol w:w="8763"/>
        <w:gridCol w:w="1300"/>
      </w:tblGrid>
      <w:tr w:rsidR="003F7082" w:rsidRPr="00B503A4" w14:paraId="759CD920"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F113044" w14:textId="77777777" w:rsidR="003F7082" w:rsidRPr="00B503A4" w:rsidRDefault="003F7082"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lastRenderedPageBreak/>
              <w:t>Especificação</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1758C86" w14:textId="77777777" w:rsidR="003F7082" w:rsidRPr="00B503A4" w:rsidRDefault="003F7082"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Código</w:t>
            </w:r>
          </w:p>
        </w:tc>
      </w:tr>
      <w:tr w:rsidR="003F7082" w:rsidRPr="00B503A4" w14:paraId="4B380F9C"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1D42A8C6"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Plástico</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2151690E"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C1</w:t>
            </w:r>
          </w:p>
        </w:tc>
      </w:tr>
      <w:tr w:rsidR="003F7082" w:rsidRPr="00B503A4" w14:paraId="073714BA"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40BB9F20"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Alumínio</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78D46517"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C2</w:t>
            </w:r>
          </w:p>
        </w:tc>
      </w:tr>
      <w:tr w:rsidR="003F7082" w:rsidRPr="00B503A4" w14:paraId="72260722"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6722D04D"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Outros</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3D9E04AC"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C3</w:t>
            </w:r>
          </w:p>
        </w:tc>
      </w:tr>
    </w:tbl>
    <w:p w14:paraId="37EC9C96" w14:textId="77777777" w:rsidR="003F7082" w:rsidRPr="00B503A4" w:rsidRDefault="003F7082" w:rsidP="003F7082">
      <w:pPr>
        <w:widowControl/>
        <w:ind w:right="-199"/>
        <w:jc w:val="both"/>
        <w:rPr>
          <w:rFonts w:asciiTheme="minorHAnsi" w:hAnsiTheme="minorHAnsi" w:cstheme="minorHAnsi"/>
          <w:iCs/>
          <w:sz w:val="24"/>
        </w:rPr>
      </w:pPr>
    </w:p>
    <w:p w14:paraId="0B3FFC70" w14:textId="77777777" w:rsidR="003F7082" w:rsidRPr="00B503A4" w:rsidRDefault="003F7082" w:rsidP="003F7082">
      <w:pPr>
        <w:widowControl/>
        <w:ind w:right="-199"/>
        <w:rPr>
          <w:rFonts w:asciiTheme="minorHAnsi" w:hAnsiTheme="minorHAnsi" w:cstheme="minorHAnsi"/>
          <w:sz w:val="24"/>
          <w:szCs w:val="24"/>
          <w:u w:val="single"/>
        </w:rPr>
      </w:pPr>
      <w:r w:rsidRPr="00B503A4">
        <w:rPr>
          <w:rFonts w:asciiTheme="minorHAnsi" w:hAnsiTheme="minorHAnsi" w:cstheme="minorHAnsi"/>
          <w:sz w:val="24"/>
          <w:szCs w:val="24"/>
          <w:u w:val="single"/>
        </w:rPr>
        <w:t>Característica 4: Material da grade/rede de proteção</w:t>
      </w:r>
    </w:p>
    <w:p w14:paraId="30C41547" w14:textId="77777777" w:rsidR="003F7082" w:rsidRPr="00B503A4" w:rsidRDefault="003F7082" w:rsidP="003F7082">
      <w:pPr>
        <w:widowControl/>
        <w:ind w:right="-199"/>
        <w:rPr>
          <w:rFonts w:asciiTheme="minorHAnsi" w:hAnsiTheme="minorHAnsi" w:cstheme="minorHAnsi"/>
          <w:b/>
          <w:sz w:val="24"/>
          <w:szCs w:val="24"/>
        </w:rPr>
      </w:pPr>
    </w:p>
    <w:tbl>
      <w:tblPr>
        <w:tblW w:w="5000" w:type="pct"/>
        <w:jc w:val="center"/>
        <w:tblCellMar>
          <w:left w:w="70" w:type="dxa"/>
          <w:right w:w="70" w:type="dxa"/>
        </w:tblCellMar>
        <w:tblLook w:val="04A0" w:firstRow="1" w:lastRow="0" w:firstColumn="1" w:lastColumn="0" w:noHBand="0" w:noVBand="1"/>
      </w:tblPr>
      <w:tblGrid>
        <w:gridCol w:w="8763"/>
        <w:gridCol w:w="1300"/>
      </w:tblGrid>
      <w:tr w:rsidR="003F7082" w:rsidRPr="00B503A4" w14:paraId="642B07E7"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D710E4C" w14:textId="77777777" w:rsidR="003F7082" w:rsidRPr="00B503A4" w:rsidRDefault="003F7082"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Especificação</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53E5AB8" w14:textId="77777777" w:rsidR="003F7082" w:rsidRPr="00B503A4" w:rsidRDefault="003F7082"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Código</w:t>
            </w:r>
          </w:p>
        </w:tc>
      </w:tr>
      <w:tr w:rsidR="003F7082" w:rsidRPr="00B503A4" w14:paraId="0E9B4F61"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61DB188F"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Plástico</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2D4A1884"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D1</w:t>
            </w:r>
          </w:p>
        </w:tc>
      </w:tr>
      <w:tr w:rsidR="003F7082" w:rsidRPr="00B503A4" w14:paraId="393E0888"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77410464"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Outros</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14526D76"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D2</w:t>
            </w:r>
          </w:p>
        </w:tc>
      </w:tr>
    </w:tbl>
    <w:p w14:paraId="1BDA19E2" w14:textId="77777777" w:rsidR="003F7082" w:rsidRPr="00B503A4" w:rsidRDefault="003F7082" w:rsidP="003F7082">
      <w:pPr>
        <w:widowControl/>
        <w:ind w:right="-199"/>
        <w:jc w:val="both"/>
        <w:rPr>
          <w:rFonts w:asciiTheme="minorHAnsi" w:hAnsiTheme="minorHAnsi" w:cstheme="minorHAnsi"/>
          <w:iCs/>
          <w:sz w:val="24"/>
        </w:rPr>
      </w:pPr>
    </w:p>
    <w:p w14:paraId="191FA9BA" w14:textId="77777777" w:rsidR="003F7082" w:rsidRPr="00B503A4" w:rsidRDefault="003F7082" w:rsidP="003F7082">
      <w:pPr>
        <w:widowControl/>
        <w:ind w:right="-199"/>
        <w:rPr>
          <w:rFonts w:asciiTheme="minorHAnsi" w:hAnsiTheme="minorHAnsi" w:cstheme="minorHAnsi"/>
          <w:sz w:val="24"/>
          <w:szCs w:val="24"/>
          <w:u w:val="single"/>
        </w:rPr>
      </w:pPr>
      <w:r w:rsidRPr="00B503A4">
        <w:rPr>
          <w:rFonts w:asciiTheme="minorHAnsi" w:hAnsiTheme="minorHAnsi" w:cstheme="minorHAnsi"/>
          <w:sz w:val="24"/>
          <w:szCs w:val="24"/>
          <w:u w:val="single"/>
        </w:rPr>
        <w:t>Característica 5: Material da hélice</w:t>
      </w:r>
    </w:p>
    <w:p w14:paraId="6EBF0801" w14:textId="77777777" w:rsidR="003F7082" w:rsidRPr="00B503A4" w:rsidRDefault="003F7082" w:rsidP="003F7082">
      <w:pPr>
        <w:widowControl/>
        <w:ind w:right="-199"/>
        <w:rPr>
          <w:rFonts w:asciiTheme="minorHAnsi" w:hAnsiTheme="minorHAnsi" w:cstheme="minorHAnsi"/>
          <w:b/>
          <w:sz w:val="24"/>
          <w:szCs w:val="24"/>
        </w:rPr>
      </w:pPr>
    </w:p>
    <w:tbl>
      <w:tblPr>
        <w:tblW w:w="5000" w:type="pct"/>
        <w:jc w:val="center"/>
        <w:tblCellMar>
          <w:left w:w="70" w:type="dxa"/>
          <w:right w:w="70" w:type="dxa"/>
        </w:tblCellMar>
        <w:tblLook w:val="04A0" w:firstRow="1" w:lastRow="0" w:firstColumn="1" w:lastColumn="0" w:noHBand="0" w:noVBand="1"/>
      </w:tblPr>
      <w:tblGrid>
        <w:gridCol w:w="8698"/>
        <w:gridCol w:w="1365"/>
      </w:tblGrid>
      <w:tr w:rsidR="003F7082" w:rsidRPr="00B503A4" w14:paraId="72170EE4" w14:textId="77777777" w:rsidTr="003F7130">
        <w:trPr>
          <w:trHeight w:val="50"/>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1A2FA7C" w14:textId="77777777" w:rsidR="003F7082" w:rsidRPr="00B503A4" w:rsidRDefault="003F7082"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Especificação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4704515" w14:textId="77777777" w:rsidR="003F7082" w:rsidRPr="00B503A4" w:rsidRDefault="003F7082"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Código</w:t>
            </w:r>
          </w:p>
        </w:tc>
      </w:tr>
      <w:tr w:rsidR="003F7082" w:rsidRPr="00B503A4" w14:paraId="032699A3" w14:textId="77777777" w:rsidTr="003F7130">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79A33FFA"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Plástico</w:t>
            </w:r>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06DA6378"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E1</w:t>
            </w:r>
          </w:p>
        </w:tc>
      </w:tr>
      <w:tr w:rsidR="003F7082" w:rsidRPr="00B503A4" w14:paraId="2D069F4C" w14:textId="77777777" w:rsidTr="003F7130">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7AE0A7AD"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Outros</w:t>
            </w:r>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178D9129" w14:textId="77777777" w:rsidR="003F7082" w:rsidRPr="00B503A4" w:rsidRDefault="003F7082"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E2</w:t>
            </w:r>
          </w:p>
        </w:tc>
      </w:tr>
    </w:tbl>
    <w:p w14:paraId="7219F26F" w14:textId="77777777" w:rsidR="003F7082" w:rsidRPr="00B503A4" w:rsidRDefault="003F7082" w:rsidP="003F7082">
      <w:pPr>
        <w:widowControl/>
        <w:ind w:left="709" w:right="651" w:hanging="709"/>
        <w:jc w:val="both"/>
        <w:rPr>
          <w:rFonts w:asciiTheme="minorHAnsi" w:hAnsiTheme="minorHAnsi" w:cstheme="minorHAnsi"/>
          <w:sz w:val="24"/>
          <w:szCs w:val="24"/>
        </w:rPr>
      </w:pPr>
      <w:r w:rsidRPr="00B503A4">
        <w:rPr>
          <w:rFonts w:asciiTheme="minorHAnsi" w:hAnsiTheme="minorHAnsi" w:cstheme="minorHAnsi"/>
          <w:sz w:val="24"/>
          <w:szCs w:val="24"/>
        </w:rPr>
        <w:t xml:space="preserve">           </w:t>
      </w:r>
    </w:p>
    <w:p w14:paraId="687685A2" w14:textId="77777777" w:rsidR="003F7082" w:rsidRPr="00B503A4" w:rsidRDefault="003F7082" w:rsidP="003F7082">
      <w:pPr>
        <w:widowControl/>
        <w:ind w:right="28"/>
        <w:jc w:val="both"/>
        <w:rPr>
          <w:rFonts w:asciiTheme="minorHAnsi" w:hAnsiTheme="minorHAnsi" w:cstheme="minorHAnsi"/>
          <w:sz w:val="24"/>
          <w:szCs w:val="24"/>
        </w:rPr>
      </w:pPr>
      <w:r w:rsidRPr="00B503A4">
        <w:rPr>
          <w:rFonts w:asciiTheme="minorHAnsi" w:hAnsiTheme="minorHAnsi" w:cstheme="minorHAnsi"/>
          <w:sz w:val="24"/>
          <w:szCs w:val="24"/>
        </w:rPr>
        <w:t>Exemplo de formulação do CODIP: Ventilador de 25 cm (A1), com 60 W de potência (B2), de plástico (C1), grade de proteção plástica (D1), hélice de plástico (E1): A1B2C1D1E1.</w:t>
      </w:r>
    </w:p>
    <w:bookmarkEnd w:id="16"/>
    <w:p w14:paraId="5A8B6870" w14:textId="77777777" w:rsidR="00205634" w:rsidRPr="008C6478" w:rsidRDefault="00205634" w:rsidP="00CD5CA6">
      <w:pPr>
        <w:pStyle w:val="PargrafodaLista"/>
        <w:ind w:left="0"/>
        <w:rPr>
          <w:rFonts w:asciiTheme="minorHAnsi" w:hAnsiTheme="minorHAnsi" w:cstheme="minorHAnsi"/>
          <w:sz w:val="24"/>
          <w:szCs w:val="24"/>
        </w:rPr>
      </w:pPr>
    </w:p>
    <w:p w14:paraId="78723496" w14:textId="77777777" w:rsidR="005E2C7D" w:rsidRPr="008C6478" w:rsidRDefault="005E2C7D"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r w:rsidRPr="008C6478">
        <w:rPr>
          <w:rFonts w:asciiTheme="minorHAnsi" w:hAnsiTheme="minorHAnsi" w:cstheme="minorHAnsi"/>
          <w:sz w:val="24"/>
          <w:szCs w:val="24"/>
        </w:rPr>
        <w:t>is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18"/>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18"/>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lastRenderedPageBreak/>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lastRenderedPageBreak/>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34CD098A"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t xml:space="preserve">Informar </w:t>
      </w:r>
      <w:r w:rsidRPr="008C6478">
        <w:rPr>
          <w:rFonts w:asciiTheme="minorHAnsi" w:hAnsiTheme="minorHAnsi" w:cstheme="minorHAnsi"/>
          <w:sz w:val="24"/>
          <w:szCs w:val="24"/>
        </w:rPr>
        <w:t xml:space="preserve">os investimentos realizados </w:t>
      </w:r>
      <w:r w:rsidR="00D35A83" w:rsidRPr="008C6478">
        <w:rPr>
          <w:rFonts w:asciiTheme="minorHAnsi" w:hAnsiTheme="minorHAnsi" w:cstheme="minorHAnsi"/>
          <w:sz w:val="24"/>
          <w:szCs w:val="24"/>
        </w:rPr>
        <w:t xml:space="preserve">de </w:t>
      </w:r>
      <w:r w:rsidR="003F7082" w:rsidRPr="003F7082">
        <w:rPr>
          <w:rFonts w:asciiTheme="minorHAnsi" w:hAnsiTheme="minorHAnsi" w:cstheme="minorHAnsi"/>
          <w:b/>
          <w:bCs/>
          <w:sz w:val="24"/>
          <w:szCs w:val="24"/>
        </w:rPr>
        <w:t xml:space="preserve">outubro de 2018 a setembro de 2023 </w:t>
      </w:r>
      <w:r w:rsidR="00205634" w:rsidRPr="003F7082">
        <w:rPr>
          <w:rFonts w:asciiTheme="minorHAnsi" w:hAnsiTheme="minorHAnsi" w:cstheme="minorHAnsi"/>
          <w:b/>
          <w:bCs/>
          <w:sz w:val="24"/>
          <w:szCs w:val="24"/>
        </w:rPr>
        <w:t>[P1 a P5]</w:t>
      </w:r>
      <w:r w:rsidRPr="008C6478">
        <w:rPr>
          <w:rFonts w:asciiTheme="minorHAnsi" w:hAnsiTheme="minorHAnsi" w:cstheme="minorHAnsi"/>
          <w:sz w:val="24"/>
          <w:szCs w:val="24"/>
        </w:rPr>
        <w:t xml:space="preserve">, na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os mesmos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r w:rsidR="00122B21" w:rsidRPr="008C6478">
        <w:rPr>
          <w:rFonts w:asciiTheme="minorHAnsi" w:hAnsiTheme="minorHAnsi" w:cstheme="minorHAnsi"/>
          <w:sz w:val="24"/>
        </w:rPr>
        <w:t>debêntures</w:t>
      </w:r>
      <w:r w:rsidR="003E34C6" w:rsidRPr="008C6478">
        <w:rPr>
          <w:rFonts w:asciiTheme="minorHAnsi" w:hAnsiTheme="minorHAnsi" w:cstheme="minorHAnsi"/>
          <w:sz w:val="24"/>
        </w:rPr>
        <w:t>, etc.).</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70F5D8C5"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a empresa tomou empréstimo de curto prazo no período de </w:t>
      </w:r>
      <w:r w:rsidR="003F7082" w:rsidRPr="003F7082">
        <w:rPr>
          <w:rFonts w:asciiTheme="minorHAnsi" w:hAnsiTheme="minorHAnsi" w:cstheme="minorHAnsi"/>
          <w:b/>
          <w:bCs/>
          <w:sz w:val="24"/>
          <w:szCs w:val="24"/>
        </w:rPr>
        <w:t>outubro de 2018 a setembro de 2023 [P1 a P5]</w:t>
      </w:r>
      <w:r w:rsidR="003F7082" w:rsidRPr="008C6478">
        <w:rPr>
          <w:rFonts w:asciiTheme="minorHAnsi" w:hAnsiTheme="minorHAnsi" w:cstheme="minorHAnsi"/>
          <w:b/>
          <w:color w:val="FF0000"/>
          <w:sz w:val="24"/>
          <w:szCs w:val="24"/>
        </w:rPr>
        <w:t xml:space="preserve"> </w:t>
      </w:r>
      <w:r w:rsidRPr="008C6478">
        <w:rPr>
          <w:rFonts w:asciiTheme="minorHAnsi" w:hAnsiTheme="minorHAnsi" w:cstheme="minorHAnsi"/>
          <w:sz w:val="24"/>
          <w:szCs w:val="24"/>
        </w:rPr>
        <w:t>e informar a taxa média de captação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48C63166"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ex fabrica</w:t>
      </w:r>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 xml:space="preserve">Informar o valor total do frete interno incorrido da unidade de produção/armazenagem ao </w:t>
      </w:r>
      <w:r w:rsidR="001E3E3B" w:rsidRPr="008C6478">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661E2C7"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proofErr w:type="spellStart"/>
      <w:r w:rsidR="00FD16C8" w:rsidRPr="008C6478">
        <w:rPr>
          <w:rFonts w:asciiTheme="minorHAnsi" w:hAnsiTheme="minorHAnsi" w:cstheme="minorHAnsi"/>
          <w:sz w:val="24"/>
        </w:rPr>
        <w:t>Fornecer</w:t>
      </w:r>
      <w:proofErr w:type="spellEnd"/>
      <w:r w:rsidR="00FD16C8" w:rsidRPr="008C6478">
        <w:rPr>
          <w:rFonts w:asciiTheme="minorHAnsi" w:hAnsiTheme="minorHAnsi" w:cstheme="minorHAnsi"/>
          <w:sz w:val="24"/>
        </w:rPr>
        <w:t xml:space="preserve">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lastRenderedPageBreak/>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40FAF25B" w:rsidR="00BD34E1" w:rsidRPr="008C6478" w:rsidRDefault="00BD34E1" w:rsidP="00BD34E1">
      <w:pPr>
        <w:jc w:val="both"/>
        <w:rPr>
          <w:rFonts w:asciiTheme="minorHAnsi" w:hAnsiTheme="minorHAnsi" w:cstheme="minorHAnsi"/>
          <w:sz w:val="24"/>
          <w:szCs w:val="24"/>
        </w:rPr>
      </w:pPr>
      <w:r w:rsidRPr="008C6478">
        <w:rPr>
          <w:rFonts w:asciiTheme="minorHAnsi" w:hAnsiTheme="minorHAnsi" w:cstheme="minorHAnsi"/>
          <w:sz w:val="24"/>
        </w:rPr>
        <w:t xml:space="preserve">2.1 </w:t>
      </w:r>
      <w:r w:rsidRPr="008C6478">
        <w:rPr>
          <w:rFonts w:asciiTheme="minorHAnsi" w:hAnsiTheme="minorHAnsi" w:cstheme="minorHAnsi"/>
          <w:sz w:val="24"/>
        </w:rPr>
        <w:tab/>
        <w:t>In</w:t>
      </w:r>
      <w:r w:rsidRPr="008C6478">
        <w:rPr>
          <w:rFonts w:asciiTheme="minorHAnsi" w:hAnsiTheme="minorHAnsi" w:cstheme="minorHAnsi"/>
          <w:sz w:val="24"/>
          <w:szCs w:val="24"/>
        </w:rPr>
        <w:t>formar se, durante o período de</w:t>
      </w:r>
      <w:r w:rsidR="003F7082">
        <w:rPr>
          <w:rFonts w:asciiTheme="minorHAnsi" w:hAnsiTheme="minorHAnsi" w:cstheme="minorHAnsi"/>
          <w:sz w:val="24"/>
          <w:szCs w:val="24"/>
        </w:rPr>
        <w:t xml:space="preserve"> </w:t>
      </w:r>
      <w:r w:rsidR="003F7082" w:rsidRPr="003F7082">
        <w:rPr>
          <w:rFonts w:asciiTheme="minorHAnsi" w:hAnsiTheme="minorHAnsi" w:cstheme="minorHAnsi"/>
          <w:b/>
          <w:bCs/>
          <w:sz w:val="24"/>
          <w:szCs w:val="24"/>
        </w:rPr>
        <w:t>outubro de 2018 a setembro de 2023 [P1 a P5]</w:t>
      </w:r>
      <w:r w:rsidR="003F7082">
        <w:rPr>
          <w:rFonts w:asciiTheme="minorHAnsi" w:hAnsiTheme="minorHAnsi" w:cstheme="minorHAnsi"/>
          <w:b/>
          <w:bCs/>
          <w:sz w:val="24"/>
          <w:szCs w:val="24"/>
        </w:rPr>
        <w:t>,</w:t>
      </w:r>
      <w:r w:rsidRPr="008C6478">
        <w:rPr>
          <w:rFonts w:asciiTheme="minorHAnsi" w:hAnsiTheme="minorHAnsi" w:cstheme="minorHAnsi"/>
          <w:sz w:val="24"/>
          <w:szCs w:val="24"/>
        </w:rPr>
        <w:t xml:space="preserve"> houve mudanças no padrão de consumo no mercado brasileiro do produto importado.</w:t>
      </w:r>
    </w:p>
    <w:p w14:paraId="27B5EADA" w14:textId="77777777" w:rsidR="00BD34E1" w:rsidRPr="008C6478"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2</w:t>
      </w:r>
      <w:r w:rsidRPr="008C6478">
        <w:rPr>
          <w:rFonts w:asciiTheme="minorHAnsi" w:hAnsiTheme="minorHAnsi" w:cstheme="minorHAnsi"/>
          <w:sz w:val="24"/>
          <w:szCs w:val="24"/>
        </w:rPr>
        <w:tab/>
      </w:r>
      <w:r w:rsidR="00D80BF8" w:rsidRPr="008C647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o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progresso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desempenho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IX - qualquer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51B43180"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8C6478">
        <w:rPr>
          <w:rFonts w:asciiTheme="minorHAnsi" w:hAnsiTheme="minorHAnsi" w:cstheme="minorHAnsi"/>
          <w:sz w:val="24"/>
          <w:szCs w:val="24"/>
        </w:rPr>
        <w:t>Em sendo o caso, d</w:t>
      </w:r>
      <w:r w:rsidRPr="008C6478">
        <w:rPr>
          <w:rFonts w:asciiTheme="minorHAnsi" w:hAnsiTheme="minorHAnsi" w:cstheme="minorHAnsi"/>
          <w:sz w:val="24"/>
          <w:szCs w:val="24"/>
        </w:rPr>
        <w:t>escrever, detalhadamente, os</w:t>
      </w:r>
      <w:r w:rsidR="00BB7B95">
        <w:rPr>
          <w:rFonts w:asciiTheme="minorHAnsi" w:hAnsiTheme="minorHAnsi" w:cstheme="minorHAnsi"/>
          <w:sz w:val="24"/>
          <w:szCs w:val="24"/>
        </w:rPr>
        <w:t xml:space="preserve"> </w:t>
      </w:r>
      <w:r w:rsidR="00BB7B95" w:rsidRPr="00BB7B95">
        <w:rPr>
          <w:rFonts w:asciiTheme="minorHAnsi" w:hAnsiTheme="minorHAnsi" w:cstheme="minorHAnsi"/>
          <w:b/>
          <w:bCs/>
          <w:sz w:val="24"/>
          <w:szCs w:val="24"/>
        </w:rPr>
        <w:t>ventiladores de mesa</w:t>
      </w:r>
      <w:r w:rsidRPr="008C6478">
        <w:rPr>
          <w:rFonts w:asciiTheme="minorHAnsi" w:hAnsiTheme="minorHAnsi" w:cstheme="minorHAnsi"/>
          <w:sz w:val="24"/>
          <w:szCs w:val="24"/>
        </w:rPr>
        <w:t xml:space="preserve"> importados por essa empresa. Acrescentar informações e especificações relevantes que permitam caracterizar tecnicamente este produto, tais como nome/código comercial do fabricante, tipo, mercado a que se destina, dentre outros. Se disponível, anexar catálogo de</w:t>
      </w:r>
      <w:r w:rsidR="00BB7B95" w:rsidRPr="00BB7B95">
        <w:rPr>
          <w:rFonts w:asciiTheme="minorHAnsi" w:hAnsiTheme="minorHAnsi" w:cstheme="minorHAnsi"/>
          <w:b/>
          <w:bCs/>
          <w:sz w:val="24"/>
          <w:szCs w:val="24"/>
        </w:rPr>
        <w:t xml:space="preserve"> ventiladores de mesa</w:t>
      </w:r>
      <w:r w:rsidR="00BB7B95">
        <w:rPr>
          <w:rFonts w:asciiTheme="minorHAnsi" w:hAnsiTheme="minorHAnsi" w:cstheme="minorHAnsi"/>
          <w:b/>
          <w:bCs/>
          <w:sz w:val="24"/>
          <w:szCs w:val="24"/>
        </w:rPr>
        <w:t>.</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06D0C70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t xml:space="preserve">Esclarecer se essa empresa submete o </w:t>
      </w:r>
      <w:r w:rsidR="00BB7B95" w:rsidRPr="00BB7B95">
        <w:rPr>
          <w:rFonts w:asciiTheme="minorHAnsi" w:hAnsiTheme="minorHAnsi" w:cstheme="minorHAnsi"/>
          <w:b/>
          <w:bCs/>
          <w:sz w:val="24"/>
          <w:szCs w:val="24"/>
        </w:rPr>
        <w:t>ventilador de mesa</w:t>
      </w:r>
      <w:r w:rsidR="00BB7B95" w:rsidRPr="008C6478">
        <w:rPr>
          <w:rFonts w:asciiTheme="minorHAnsi" w:hAnsiTheme="minorHAnsi" w:cstheme="minorHAnsi"/>
          <w:sz w:val="24"/>
          <w:szCs w:val="24"/>
        </w:rPr>
        <w:t xml:space="preserve"> </w:t>
      </w:r>
      <w:r w:rsidRPr="008C6478">
        <w:rPr>
          <w:rFonts w:asciiTheme="minorHAnsi" w:hAnsiTheme="minorHAnsi" w:cstheme="minorHAnsi"/>
          <w:sz w:val="24"/>
          <w:szCs w:val="24"/>
        </w:rPr>
        <w:t>importado</w:t>
      </w:r>
      <w:r w:rsidR="00BB7B95">
        <w:rPr>
          <w:rFonts w:asciiTheme="minorHAnsi" w:hAnsiTheme="minorHAnsi" w:cstheme="minorHAnsi"/>
          <w:sz w:val="24"/>
          <w:szCs w:val="24"/>
        </w:rPr>
        <w:t xml:space="preserve"> </w:t>
      </w:r>
      <w:r w:rsidRPr="008C6478">
        <w:rPr>
          <w:rFonts w:asciiTheme="minorHAnsi" w:hAnsiTheme="minorHAnsi" w:cstheme="minorHAnsi"/>
          <w:sz w:val="24"/>
          <w:szCs w:val="24"/>
        </w:rPr>
        <w:t xml:space="preserve">a algum processo de transformação e/ou embalagem, descrevendo sucintamente tal processo, ou se o(a) utiliza e/ou revende na forma em que foi importado(a). Informar, ainda, se o </w:t>
      </w:r>
      <w:r w:rsidR="00BB7B95" w:rsidRPr="00BB7B95">
        <w:rPr>
          <w:rFonts w:asciiTheme="minorHAnsi" w:hAnsiTheme="minorHAnsi" w:cstheme="minorHAnsi"/>
          <w:b/>
          <w:bCs/>
          <w:sz w:val="24"/>
          <w:szCs w:val="24"/>
        </w:rPr>
        <w:t>ventilador de mesa</w:t>
      </w:r>
      <w:r w:rsidR="00BB7B95" w:rsidRPr="008C6478">
        <w:rPr>
          <w:rFonts w:asciiTheme="minorHAnsi" w:hAnsiTheme="minorHAnsi" w:cstheme="minorHAnsi"/>
          <w:sz w:val="24"/>
          <w:szCs w:val="24"/>
        </w:rPr>
        <w:t xml:space="preserve"> </w:t>
      </w:r>
      <w:r w:rsidRPr="008C6478">
        <w:rPr>
          <w:rFonts w:asciiTheme="minorHAnsi" w:hAnsiTheme="minorHAnsi" w:cstheme="minorHAnsi"/>
          <w:sz w:val="24"/>
          <w:szCs w:val="24"/>
        </w:rPr>
        <w:t>importado é posteriormente exportado(a) ou vendido(a)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2DDF5091"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Caso essa empresa revenda o</w:t>
      </w:r>
      <w:r w:rsidR="00BB7B95" w:rsidRPr="00BB7B95">
        <w:rPr>
          <w:rFonts w:asciiTheme="minorHAnsi" w:hAnsiTheme="minorHAnsi" w:cstheme="minorHAnsi"/>
          <w:b/>
          <w:bCs/>
          <w:sz w:val="24"/>
          <w:szCs w:val="24"/>
        </w:rPr>
        <w:t xml:space="preserve"> ventilador de mesa</w:t>
      </w:r>
      <w:r w:rsidR="00BB7B95" w:rsidRPr="008C6478">
        <w:rPr>
          <w:rFonts w:asciiTheme="minorHAnsi" w:hAnsiTheme="minorHAnsi" w:cstheme="minorHAnsi"/>
          <w:sz w:val="24"/>
          <w:szCs w:val="24"/>
        </w:rPr>
        <w:t xml:space="preserve"> </w:t>
      </w:r>
      <w:r w:rsidRPr="008C6478">
        <w:rPr>
          <w:rFonts w:asciiTheme="minorHAnsi" w:hAnsiTheme="minorHAnsi" w:cstheme="minorHAnsi"/>
          <w:sz w:val="24"/>
          <w:szCs w:val="24"/>
        </w:rPr>
        <w:t>importado(a),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8C6478" w:rsidRDefault="00244A00" w:rsidP="00244A00">
      <w:pPr>
        <w:ind w:left="-142" w:right="-199"/>
        <w:jc w:val="both"/>
        <w:rPr>
          <w:rFonts w:asciiTheme="minorHAnsi" w:hAnsiTheme="minorHAnsi" w:cstheme="minorHAnsi"/>
          <w:sz w:val="24"/>
          <w:szCs w:val="24"/>
        </w:rPr>
      </w:pPr>
    </w:p>
    <w:p w14:paraId="4CBAE2A1" w14:textId="77831502" w:rsidR="00244A00" w:rsidRPr="008C6478" w:rsidRDefault="00244A00" w:rsidP="00244A00">
      <w:pPr>
        <w:pStyle w:val="Corpodetexto"/>
        <w:tabs>
          <w:tab w:val="left" w:pos="709"/>
        </w:tabs>
        <w:ind w:left="-142" w:right="-199"/>
        <w:rPr>
          <w:rFonts w:asciiTheme="minorHAnsi" w:hAnsiTheme="minorHAnsi" w:cstheme="minorHAnsi"/>
          <w:sz w:val="24"/>
          <w:szCs w:val="24"/>
        </w:rPr>
      </w:pPr>
      <w:r w:rsidRPr="008C6478">
        <w:rPr>
          <w:rFonts w:asciiTheme="minorHAnsi" w:hAnsiTheme="minorHAnsi" w:cstheme="minorHAnsi"/>
          <w:sz w:val="24"/>
          <w:szCs w:val="24"/>
        </w:rPr>
        <w:t>7.</w:t>
      </w:r>
      <w:r w:rsidRPr="008C6478">
        <w:rPr>
          <w:rFonts w:asciiTheme="minorHAnsi" w:hAnsiTheme="minorHAnsi" w:cstheme="minorHAnsi"/>
          <w:sz w:val="24"/>
          <w:szCs w:val="24"/>
        </w:rPr>
        <w:tab/>
        <w:t>Esclarecer a política comercial na aquisição de</w:t>
      </w:r>
      <w:r w:rsidR="00BB7B95" w:rsidRPr="00BB7B95">
        <w:rPr>
          <w:rFonts w:asciiTheme="minorHAnsi" w:hAnsiTheme="minorHAnsi" w:cstheme="minorHAnsi"/>
          <w:b/>
          <w:bCs/>
          <w:sz w:val="24"/>
          <w:szCs w:val="24"/>
        </w:rPr>
        <w:t xml:space="preserve"> ventiladores de mesa</w:t>
      </w:r>
      <w:r w:rsidRPr="008C6478">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 etc.</w:t>
      </w:r>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18AC4B90" w:rsidR="00244A00" w:rsidRPr="008C6478" w:rsidRDefault="00244A00" w:rsidP="00A01D5C">
      <w:pPr>
        <w:ind w:left="-142" w:right="-199"/>
        <w:jc w:val="both"/>
        <w:rPr>
          <w:rFonts w:asciiTheme="minorHAnsi" w:hAnsiTheme="minorHAnsi" w:cstheme="minorHAnsi"/>
          <w:b/>
          <w:sz w:val="24"/>
          <w:szCs w:val="24"/>
        </w:rPr>
      </w:pPr>
      <w:r w:rsidRPr="008C6478">
        <w:rPr>
          <w:rFonts w:asciiTheme="minorHAnsi" w:hAnsiTheme="minorHAnsi" w:cstheme="minorHAnsi"/>
          <w:sz w:val="24"/>
          <w:szCs w:val="24"/>
        </w:rPr>
        <w:t>11.</w:t>
      </w:r>
      <w:r w:rsidRPr="008C6478">
        <w:rPr>
          <w:rFonts w:asciiTheme="minorHAnsi" w:hAnsiTheme="minorHAnsi" w:cstheme="minorHAnsi"/>
          <w:sz w:val="24"/>
          <w:szCs w:val="24"/>
        </w:rPr>
        <w:tab/>
        <w:t xml:space="preserve">Preencher o </w:t>
      </w:r>
      <w:r w:rsidRPr="008C6478">
        <w:rPr>
          <w:rFonts w:asciiTheme="minorHAnsi" w:hAnsiTheme="minorHAnsi" w:cstheme="minorHAnsi"/>
          <w:b/>
          <w:bCs/>
          <w:sz w:val="24"/>
          <w:szCs w:val="24"/>
        </w:rPr>
        <w:t xml:space="preserve">Apêndice </w:t>
      </w:r>
      <w:r w:rsidR="00372DFA" w:rsidRPr="008C6478">
        <w:rPr>
          <w:rFonts w:asciiTheme="minorHAnsi" w:hAnsiTheme="minorHAnsi" w:cstheme="minorHAnsi"/>
          <w:b/>
          <w:bCs/>
          <w:sz w:val="24"/>
          <w:szCs w:val="24"/>
        </w:rPr>
        <w:t>XV</w:t>
      </w:r>
      <w:r w:rsidR="0006596D" w:rsidRPr="008C6478">
        <w:rPr>
          <w:rFonts w:asciiTheme="minorHAnsi" w:hAnsiTheme="minorHAnsi" w:cstheme="minorHAnsi"/>
          <w:b/>
          <w:bCs/>
          <w:sz w:val="24"/>
          <w:szCs w:val="24"/>
        </w:rPr>
        <w:t>I</w:t>
      </w:r>
      <w:r w:rsidRPr="008C6478">
        <w:rPr>
          <w:rFonts w:asciiTheme="minorHAnsi" w:hAnsiTheme="minorHAnsi" w:cstheme="minorHAnsi"/>
          <w:b/>
          <w:bCs/>
          <w:sz w:val="24"/>
          <w:szCs w:val="24"/>
        </w:rPr>
        <w:t>I</w:t>
      </w:r>
      <w:r w:rsidRPr="008C6478">
        <w:rPr>
          <w:rFonts w:asciiTheme="minorHAnsi" w:hAnsiTheme="minorHAnsi" w:cstheme="minorHAnsi"/>
          <w:sz w:val="24"/>
          <w:szCs w:val="24"/>
        </w:rPr>
        <w:t xml:space="preserve">, no caso de esta empresa ter desembaraçado importações, </w:t>
      </w:r>
      <w:r w:rsidRPr="008C6478">
        <w:rPr>
          <w:rFonts w:asciiTheme="minorHAnsi" w:hAnsiTheme="minorHAnsi" w:cstheme="minorHAnsi"/>
          <w:b/>
          <w:sz w:val="24"/>
          <w:szCs w:val="24"/>
        </w:rPr>
        <w:t xml:space="preserve">de </w:t>
      </w:r>
      <w:r w:rsidR="00BB7B95" w:rsidRPr="003F7082">
        <w:rPr>
          <w:rFonts w:asciiTheme="minorHAnsi" w:hAnsiTheme="minorHAnsi" w:cstheme="minorHAnsi"/>
          <w:b/>
          <w:bCs/>
          <w:sz w:val="24"/>
          <w:szCs w:val="24"/>
        </w:rPr>
        <w:t>outubro de 20</w:t>
      </w:r>
      <w:r w:rsidR="00BB7B95">
        <w:rPr>
          <w:rFonts w:asciiTheme="minorHAnsi" w:hAnsiTheme="minorHAnsi" w:cstheme="minorHAnsi"/>
          <w:b/>
          <w:bCs/>
          <w:sz w:val="24"/>
          <w:szCs w:val="24"/>
        </w:rPr>
        <w:t>22</w:t>
      </w:r>
      <w:r w:rsidR="00BB7B95" w:rsidRPr="003F7082">
        <w:rPr>
          <w:rFonts w:asciiTheme="minorHAnsi" w:hAnsiTheme="minorHAnsi" w:cstheme="minorHAnsi"/>
          <w:b/>
          <w:bCs/>
          <w:sz w:val="24"/>
          <w:szCs w:val="24"/>
        </w:rPr>
        <w:t xml:space="preserve"> a setembro de 2023 [P5]</w:t>
      </w:r>
      <w:r w:rsidRPr="008C6478">
        <w:rPr>
          <w:rFonts w:asciiTheme="minorHAnsi" w:hAnsiTheme="minorHAnsi" w:cstheme="minorHAnsi"/>
          <w:b/>
          <w:sz w:val="24"/>
          <w:szCs w:val="24"/>
        </w:rPr>
        <w:t>,</w:t>
      </w:r>
      <w:r w:rsidRPr="008C6478">
        <w:rPr>
          <w:rFonts w:asciiTheme="minorHAnsi" w:hAnsiTheme="minorHAnsi" w:cstheme="minorHAnsi"/>
          <w:sz w:val="24"/>
          <w:szCs w:val="24"/>
        </w:rPr>
        <w:t xml:space="preserve"> de </w:t>
      </w:r>
      <w:r w:rsidR="00B52D44" w:rsidRPr="00BB7B95">
        <w:rPr>
          <w:rFonts w:asciiTheme="minorHAnsi" w:hAnsiTheme="minorHAnsi" w:cstheme="minorHAnsi"/>
          <w:b/>
          <w:bCs/>
          <w:sz w:val="24"/>
          <w:szCs w:val="24"/>
        </w:rPr>
        <w:t>ventiladores de mesa</w:t>
      </w:r>
      <w:r w:rsidR="00B52D44" w:rsidRPr="008C6478">
        <w:rPr>
          <w:rFonts w:asciiTheme="minorHAnsi" w:hAnsiTheme="minorHAnsi" w:cstheme="minorHAnsi"/>
          <w:sz w:val="24"/>
          <w:szCs w:val="24"/>
        </w:rPr>
        <w:t xml:space="preserve"> </w:t>
      </w:r>
      <w:r w:rsidRPr="008C6478">
        <w:rPr>
          <w:rFonts w:asciiTheme="minorHAnsi" w:hAnsiTheme="minorHAnsi" w:cstheme="minorHAnsi"/>
          <w:b/>
          <w:sz w:val="24"/>
          <w:szCs w:val="24"/>
        </w:rPr>
        <w:t xml:space="preserve">objeto da </w:t>
      </w:r>
      <w:r w:rsidR="00A12672" w:rsidRPr="008C6478">
        <w:rPr>
          <w:rFonts w:asciiTheme="minorHAnsi" w:hAnsiTheme="minorHAnsi" w:cstheme="minorHAnsi"/>
          <w:b/>
          <w:sz w:val="24"/>
          <w:szCs w:val="24"/>
        </w:rPr>
        <w:t>revisão</w:t>
      </w:r>
      <w:r w:rsidRPr="008C6478">
        <w:rPr>
          <w:rFonts w:asciiTheme="minorHAnsi" w:hAnsiTheme="minorHAnsi" w:cstheme="minorHAnsi"/>
          <w:sz w:val="24"/>
          <w:szCs w:val="24"/>
        </w:rPr>
        <w:t>, comumente classificados(as) no</w:t>
      </w:r>
      <w:r w:rsidR="00B52D44">
        <w:rPr>
          <w:rFonts w:asciiTheme="minorHAnsi" w:hAnsiTheme="minorHAnsi" w:cstheme="minorHAnsi"/>
          <w:sz w:val="24"/>
          <w:szCs w:val="24"/>
        </w:rPr>
        <w:t xml:space="preserve">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item</w:t>
      </w:r>
      <w:r w:rsidR="00B52D44" w:rsidRPr="00B52D44">
        <w:t xml:space="preserve"> </w:t>
      </w:r>
      <w:r w:rsidR="00B52D44" w:rsidRPr="00B52D44">
        <w:rPr>
          <w:rFonts w:asciiTheme="minorHAnsi" w:hAnsiTheme="minorHAnsi" w:cstheme="minorHAnsi"/>
          <w:sz w:val="24"/>
          <w:szCs w:val="24"/>
        </w:rPr>
        <w:t>8414.51.10</w:t>
      </w:r>
      <w:r w:rsidR="00B52D44">
        <w:rPr>
          <w:rFonts w:asciiTheme="minorHAnsi" w:hAnsiTheme="minorHAnsi" w:cstheme="minorHAnsi"/>
          <w:sz w:val="24"/>
          <w:szCs w:val="24"/>
        </w:rPr>
        <w:t xml:space="preserve"> </w:t>
      </w:r>
      <w:r w:rsidRPr="008C6478">
        <w:rPr>
          <w:rFonts w:asciiTheme="minorHAnsi" w:hAnsiTheme="minorHAnsi" w:cstheme="minorHAnsi"/>
          <w:sz w:val="24"/>
          <w:szCs w:val="24"/>
        </w:rPr>
        <w:t xml:space="preserve">da NCM e </w:t>
      </w:r>
      <w:r w:rsidRPr="008C6478">
        <w:rPr>
          <w:rFonts w:asciiTheme="minorHAnsi" w:hAnsiTheme="minorHAnsi" w:cstheme="minorHAnsi"/>
          <w:bCs/>
          <w:sz w:val="24"/>
          <w:szCs w:val="24"/>
        </w:rPr>
        <w:t xml:space="preserve">originárias </w:t>
      </w:r>
      <w:r w:rsidRPr="008C6478">
        <w:rPr>
          <w:rFonts w:asciiTheme="minorHAnsi" w:hAnsiTheme="minorHAnsi" w:cstheme="minorHAnsi"/>
          <w:sz w:val="24"/>
          <w:szCs w:val="24"/>
        </w:rPr>
        <w:t>d</w:t>
      </w:r>
      <w:r w:rsidR="00B52D44">
        <w:rPr>
          <w:rFonts w:asciiTheme="minorHAnsi" w:hAnsiTheme="minorHAnsi" w:cstheme="minorHAnsi"/>
          <w:sz w:val="24"/>
          <w:szCs w:val="24"/>
        </w:rPr>
        <w:t xml:space="preserve">a </w:t>
      </w:r>
      <w:r w:rsidR="00B52D44" w:rsidRPr="00B52D44">
        <w:rPr>
          <w:rFonts w:asciiTheme="minorHAnsi" w:hAnsiTheme="minorHAnsi" w:cstheme="minorHAnsi"/>
          <w:b/>
          <w:bCs/>
          <w:sz w:val="24"/>
          <w:szCs w:val="24"/>
        </w:rPr>
        <w:t>China</w:t>
      </w:r>
      <w:r w:rsidR="00B52D44">
        <w:rPr>
          <w:rFonts w:asciiTheme="minorHAnsi" w:hAnsiTheme="minorHAnsi" w:cstheme="minorHAnsi"/>
          <w:sz w:val="24"/>
          <w:szCs w:val="24"/>
        </w:rPr>
        <w:t>.</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8C6478" w:rsidRDefault="00244A00" w:rsidP="00244A00">
      <w:pPr>
        <w:pStyle w:val="PargrafodaLista"/>
        <w:ind w:left="218" w:right="-199"/>
        <w:jc w:val="both"/>
        <w:rPr>
          <w:rFonts w:asciiTheme="minorHAnsi" w:hAnsiTheme="minorHAnsi" w:cstheme="minorHAnsi"/>
          <w:sz w:val="24"/>
          <w:szCs w:val="24"/>
        </w:rPr>
      </w:pPr>
    </w:p>
    <w:p w14:paraId="22A1FFF7" w14:textId="2445EC7F" w:rsidR="003F5246" w:rsidRPr="00B52D44" w:rsidRDefault="00A01D5C" w:rsidP="00244A00">
      <w:pPr>
        <w:pStyle w:val="PargrafodaLista"/>
        <w:widowControl/>
        <w:numPr>
          <w:ilvl w:val="0"/>
          <w:numId w:val="38"/>
        </w:numPr>
        <w:ind w:right="-199"/>
        <w:jc w:val="both"/>
        <w:rPr>
          <w:rFonts w:asciiTheme="minorHAnsi" w:hAnsiTheme="minorHAnsi" w:cstheme="minorHAnsi"/>
          <w:sz w:val="24"/>
          <w:szCs w:val="24"/>
        </w:rPr>
      </w:pPr>
      <w:r w:rsidRPr="00B52D44">
        <w:rPr>
          <w:rFonts w:asciiTheme="minorHAnsi" w:hAnsiTheme="minorHAnsi" w:cstheme="minorHAnsi"/>
          <w:iCs/>
          <w:sz w:val="24"/>
          <w:szCs w:val="24"/>
        </w:rPr>
        <w:t>N</w:t>
      </w:r>
      <w:r w:rsidR="00244A00" w:rsidRPr="00B52D44">
        <w:rPr>
          <w:rFonts w:asciiTheme="minorHAnsi" w:hAnsiTheme="minorHAnsi" w:cstheme="minorHAnsi"/>
          <w:iCs/>
          <w:sz w:val="24"/>
          <w:szCs w:val="24"/>
        </w:rPr>
        <w:t>o campo n</w:t>
      </w:r>
      <w:r w:rsidR="00244A00" w:rsidRPr="00B52D44">
        <w:rPr>
          <w:rFonts w:asciiTheme="minorHAnsi" w:hAnsiTheme="minorHAnsi" w:cstheme="minorHAnsi"/>
          <w:iCs/>
          <w:sz w:val="24"/>
          <w:szCs w:val="24"/>
          <w:u w:val="single"/>
          <w:vertAlign w:val="superscript"/>
        </w:rPr>
        <w:t>o</w:t>
      </w:r>
      <w:r w:rsidR="00244A00" w:rsidRPr="00B52D44">
        <w:rPr>
          <w:rFonts w:asciiTheme="minorHAnsi" w:hAnsiTheme="minorHAnsi" w:cstheme="minorHAnsi"/>
          <w:iCs/>
          <w:sz w:val="24"/>
          <w:szCs w:val="24"/>
        </w:rPr>
        <w:t xml:space="preserve"> 39</w:t>
      </w:r>
      <w:r w:rsidR="00244A00" w:rsidRPr="00B52D44">
        <w:rPr>
          <w:rFonts w:asciiTheme="minorHAnsi" w:hAnsiTheme="minorHAnsi" w:cstheme="minorHAnsi"/>
          <w:sz w:val="24"/>
          <w:szCs w:val="24"/>
        </w:rPr>
        <w:t xml:space="preserve"> </w:t>
      </w:r>
      <w:r w:rsidRPr="00B52D44">
        <w:rPr>
          <w:rFonts w:asciiTheme="minorHAnsi" w:hAnsiTheme="minorHAnsi" w:cstheme="minorHAnsi"/>
          <w:sz w:val="24"/>
          <w:szCs w:val="24"/>
        </w:rPr>
        <w:t>deverá ser informado o CODIP, de acordo com as características apresentadas item IV (</w:t>
      </w:r>
      <w:r w:rsidRPr="00B52D44">
        <w:rPr>
          <w:rFonts w:asciiTheme="minorHAnsi" w:hAnsiTheme="minorHAnsi" w:cstheme="minorHAnsi"/>
          <w:sz w:val="24"/>
        </w:rPr>
        <w:t>“Produto Similar Doméstico e o Processo Produtivo”</w:t>
      </w:r>
      <w:r w:rsidRPr="00B52D44">
        <w:rPr>
          <w:rFonts w:asciiTheme="minorHAnsi" w:hAnsiTheme="minorHAnsi" w:cstheme="minorHAnsi"/>
        </w:rPr>
        <w:t>).</w:t>
      </w:r>
    </w:p>
    <w:p w14:paraId="3BE56645" w14:textId="77777777" w:rsidR="003F5246" w:rsidRPr="008C6478" w:rsidRDefault="003F5246" w:rsidP="003F5246">
      <w:pPr>
        <w:pStyle w:val="PargrafodaLista"/>
        <w:rPr>
          <w:rFonts w:asciiTheme="minorHAnsi" w:hAnsiTheme="minorHAnsi" w:cstheme="minorHAnsi"/>
          <w:iCs/>
          <w:color w:val="FF0000"/>
          <w:sz w:val="24"/>
          <w:szCs w:val="24"/>
          <w:highlight w:val="lightGray"/>
        </w:rPr>
      </w:pPr>
    </w:p>
    <w:p w14:paraId="615519E2" w14:textId="49B86613" w:rsidR="00244A00" w:rsidRPr="00B52D44" w:rsidRDefault="00244A00" w:rsidP="00A01D5C">
      <w:pPr>
        <w:ind w:left="-142" w:right="-199"/>
        <w:jc w:val="both"/>
        <w:rPr>
          <w:rFonts w:asciiTheme="minorHAnsi" w:hAnsiTheme="minorHAnsi" w:cstheme="minorHAnsi"/>
          <w:b/>
          <w:sz w:val="24"/>
          <w:szCs w:val="24"/>
        </w:rPr>
      </w:pPr>
      <w:r w:rsidRPr="00B52D44">
        <w:rPr>
          <w:rFonts w:asciiTheme="minorHAnsi" w:hAnsiTheme="minorHAnsi" w:cstheme="minorHAnsi"/>
          <w:sz w:val="24"/>
          <w:szCs w:val="24"/>
        </w:rPr>
        <w:t>13.</w:t>
      </w:r>
      <w:r w:rsidRPr="00B52D44">
        <w:rPr>
          <w:rFonts w:asciiTheme="minorHAnsi" w:hAnsiTheme="minorHAnsi" w:cstheme="minorHAnsi"/>
          <w:sz w:val="24"/>
          <w:szCs w:val="24"/>
        </w:rPr>
        <w:tab/>
        <w:t xml:space="preserve">Preencher o </w:t>
      </w:r>
      <w:r w:rsidRPr="00B52D44">
        <w:rPr>
          <w:rFonts w:asciiTheme="minorHAnsi" w:hAnsiTheme="minorHAnsi" w:cstheme="minorHAnsi"/>
          <w:b/>
          <w:bCs/>
          <w:sz w:val="24"/>
          <w:szCs w:val="24"/>
        </w:rPr>
        <w:t xml:space="preserve">Apêndice </w:t>
      </w:r>
      <w:r w:rsidR="00372DFA" w:rsidRPr="00B52D44">
        <w:rPr>
          <w:rFonts w:asciiTheme="minorHAnsi" w:hAnsiTheme="minorHAnsi" w:cstheme="minorHAnsi"/>
          <w:b/>
          <w:bCs/>
          <w:sz w:val="24"/>
          <w:szCs w:val="24"/>
        </w:rPr>
        <w:t>XV</w:t>
      </w:r>
      <w:r w:rsidRPr="00B52D44">
        <w:rPr>
          <w:rFonts w:asciiTheme="minorHAnsi" w:hAnsiTheme="minorHAnsi" w:cstheme="minorHAnsi"/>
          <w:b/>
          <w:bCs/>
          <w:sz w:val="24"/>
          <w:szCs w:val="24"/>
        </w:rPr>
        <w:t>I</w:t>
      </w:r>
      <w:r w:rsidR="0006596D" w:rsidRPr="00B52D44">
        <w:rPr>
          <w:rFonts w:asciiTheme="minorHAnsi" w:hAnsiTheme="minorHAnsi" w:cstheme="minorHAnsi"/>
          <w:b/>
          <w:bCs/>
          <w:sz w:val="24"/>
          <w:szCs w:val="24"/>
        </w:rPr>
        <w:t>I</w:t>
      </w:r>
      <w:r w:rsidRPr="00B52D44">
        <w:rPr>
          <w:rFonts w:asciiTheme="minorHAnsi" w:hAnsiTheme="minorHAnsi" w:cstheme="minorHAnsi"/>
          <w:b/>
          <w:bCs/>
          <w:sz w:val="24"/>
          <w:szCs w:val="24"/>
        </w:rPr>
        <w:t>I</w:t>
      </w:r>
      <w:r w:rsidRPr="00B52D44">
        <w:rPr>
          <w:rFonts w:asciiTheme="minorHAnsi" w:hAnsiTheme="minorHAnsi" w:cstheme="minorHAnsi"/>
          <w:sz w:val="24"/>
          <w:szCs w:val="24"/>
        </w:rPr>
        <w:t xml:space="preserve">, no caso desta empresa ter desembaraçado importações, </w:t>
      </w:r>
      <w:r w:rsidRPr="00B52D44">
        <w:rPr>
          <w:rFonts w:asciiTheme="minorHAnsi" w:hAnsiTheme="minorHAnsi" w:cstheme="minorHAnsi"/>
          <w:b/>
          <w:sz w:val="24"/>
          <w:szCs w:val="24"/>
        </w:rPr>
        <w:t xml:space="preserve">de </w:t>
      </w:r>
      <w:r w:rsidR="00B52D44" w:rsidRPr="00B52D44">
        <w:rPr>
          <w:rFonts w:asciiTheme="minorHAnsi" w:hAnsiTheme="minorHAnsi" w:cstheme="minorHAnsi"/>
          <w:b/>
          <w:sz w:val="24"/>
          <w:szCs w:val="24"/>
        </w:rPr>
        <w:t>outubro de 2018 a setembro de 2022 (P1 a P4)</w:t>
      </w:r>
      <w:r w:rsidRPr="00B52D44">
        <w:rPr>
          <w:rFonts w:asciiTheme="minorHAnsi" w:hAnsiTheme="minorHAnsi" w:cstheme="minorHAnsi"/>
          <w:b/>
          <w:sz w:val="24"/>
          <w:szCs w:val="24"/>
        </w:rPr>
        <w:t>,</w:t>
      </w:r>
      <w:r w:rsidRPr="00B52D44">
        <w:rPr>
          <w:rFonts w:asciiTheme="minorHAnsi" w:hAnsiTheme="minorHAnsi" w:cstheme="minorHAnsi"/>
          <w:sz w:val="24"/>
          <w:szCs w:val="24"/>
        </w:rPr>
        <w:t xml:space="preserve"> de </w:t>
      </w:r>
      <w:r w:rsidR="00B52D44" w:rsidRPr="00B52D44">
        <w:rPr>
          <w:rFonts w:asciiTheme="minorHAnsi" w:hAnsiTheme="minorHAnsi" w:cstheme="minorHAnsi"/>
          <w:b/>
          <w:sz w:val="24"/>
          <w:szCs w:val="24"/>
        </w:rPr>
        <w:t>ventiladores de mesa</w:t>
      </w:r>
      <w:r w:rsidRPr="00B52D44">
        <w:rPr>
          <w:rFonts w:asciiTheme="minorHAnsi" w:hAnsiTheme="minorHAnsi" w:cstheme="minorHAnsi"/>
          <w:b/>
          <w:sz w:val="24"/>
          <w:szCs w:val="24"/>
        </w:rPr>
        <w:t xml:space="preserve"> objeto da </w:t>
      </w:r>
      <w:r w:rsidR="00A12672" w:rsidRPr="00B52D44">
        <w:rPr>
          <w:rFonts w:asciiTheme="minorHAnsi" w:hAnsiTheme="minorHAnsi" w:cstheme="minorHAnsi"/>
          <w:b/>
          <w:sz w:val="24"/>
          <w:szCs w:val="24"/>
        </w:rPr>
        <w:t>revisão</w:t>
      </w:r>
      <w:r w:rsidRPr="00B52D44">
        <w:rPr>
          <w:rFonts w:asciiTheme="minorHAnsi" w:hAnsiTheme="minorHAnsi" w:cstheme="minorHAnsi"/>
          <w:sz w:val="24"/>
          <w:szCs w:val="24"/>
        </w:rPr>
        <w:t xml:space="preserve">, comumente </w:t>
      </w:r>
      <w:r w:rsidR="00B52D44" w:rsidRPr="00B52D44">
        <w:rPr>
          <w:rFonts w:asciiTheme="minorHAnsi" w:hAnsiTheme="minorHAnsi" w:cstheme="minorHAnsi"/>
          <w:sz w:val="24"/>
          <w:szCs w:val="24"/>
        </w:rPr>
        <w:t>classificados no subitem 8414.51.10 da NCM e originárias da China.</w:t>
      </w:r>
    </w:p>
    <w:p w14:paraId="18CED749" w14:textId="77777777" w:rsidR="00244A00" w:rsidRPr="008C6478" w:rsidRDefault="00244A00" w:rsidP="00244A00">
      <w:pPr>
        <w:pStyle w:val="Recuodecorpodetexto3"/>
        <w:ind w:left="-142" w:right="-199"/>
        <w:rPr>
          <w:rFonts w:asciiTheme="minorHAnsi" w:hAnsiTheme="minorHAnsi" w:cstheme="minorHAnsi"/>
          <w:b/>
          <w:sz w:val="24"/>
          <w:szCs w:val="24"/>
          <w:highlight w:val="lightGray"/>
        </w:rPr>
      </w:pPr>
    </w:p>
    <w:p w14:paraId="5225B960" w14:textId="77777777" w:rsidR="00244A00" w:rsidRPr="00B52D44" w:rsidRDefault="00244A00" w:rsidP="00A01D5C">
      <w:pPr>
        <w:ind w:left="-142" w:right="-199"/>
        <w:jc w:val="both"/>
        <w:rPr>
          <w:rFonts w:asciiTheme="minorHAnsi" w:hAnsiTheme="minorHAnsi" w:cstheme="minorHAnsi"/>
          <w:b/>
          <w:sz w:val="24"/>
          <w:szCs w:val="24"/>
        </w:rPr>
      </w:pPr>
      <w:r w:rsidRPr="00B52D44">
        <w:rPr>
          <w:rFonts w:asciiTheme="minorHAnsi" w:hAnsiTheme="minorHAnsi" w:cstheme="minorHAnsi"/>
          <w:sz w:val="24"/>
          <w:szCs w:val="24"/>
        </w:rPr>
        <w:t>14.</w:t>
      </w:r>
      <w:r w:rsidRPr="00B52D44">
        <w:rPr>
          <w:rFonts w:asciiTheme="minorHAnsi" w:hAnsiTheme="minorHAnsi" w:cstheme="minorHAnsi"/>
          <w:sz w:val="24"/>
          <w:szCs w:val="24"/>
        </w:rPr>
        <w:tab/>
        <w:t xml:space="preserve">O preenchimento dos campos do </w:t>
      </w:r>
      <w:r w:rsidRPr="00B52D44">
        <w:rPr>
          <w:rFonts w:asciiTheme="minorHAnsi" w:hAnsiTheme="minorHAnsi" w:cstheme="minorHAnsi"/>
          <w:b/>
          <w:sz w:val="24"/>
          <w:szCs w:val="24"/>
        </w:rPr>
        <w:t xml:space="preserve">Apêndice </w:t>
      </w:r>
      <w:r w:rsidR="00372DFA" w:rsidRPr="00B52D44">
        <w:rPr>
          <w:rFonts w:asciiTheme="minorHAnsi" w:hAnsiTheme="minorHAnsi" w:cstheme="minorHAnsi"/>
          <w:b/>
          <w:sz w:val="24"/>
          <w:szCs w:val="24"/>
        </w:rPr>
        <w:t>XV</w:t>
      </w:r>
      <w:r w:rsidRPr="00B52D44">
        <w:rPr>
          <w:rFonts w:asciiTheme="minorHAnsi" w:hAnsiTheme="minorHAnsi" w:cstheme="minorHAnsi"/>
          <w:b/>
          <w:sz w:val="24"/>
          <w:szCs w:val="24"/>
        </w:rPr>
        <w:t>I</w:t>
      </w:r>
      <w:r w:rsidR="0006596D" w:rsidRPr="00B52D44">
        <w:rPr>
          <w:rFonts w:asciiTheme="minorHAnsi" w:hAnsiTheme="minorHAnsi" w:cstheme="minorHAnsi"/>
          <w:b/>
          <w:sz w:val="24"/>
          <w:szCs w:val="24"/>
        </w:rPr>
        <w:t>I</w:t>
      </w:r>
      <w:r w:rsidRPr="00B52D44">
        <w:rPr>
          <w:rFonts w:asciiTheme="minorHAnsi" w:hAnsiTheme="minorHAnsi" w:cstheme="minorHAnsi"/>
          <w:b/>
          <w:sz w:val="24"/>
          <w:szCs w:val="24"/>
        </w:rPr>
        <w:t xml:space="preserve">I </w:t>
      </w:r>
      <w:r w:rsidRPr="00B52D44">
        <w:rPr>
          <w:rFonts w:asciiTheme="minorHAnsi" w:hAnsiTheme="minorHAnsi" w:cstheme="minorHAnsi"/>
          <w:sz w:val="24"/>
          <w:szCs w:val="24"/>
        </w:rPr>
        <w:t>deverá ser realizado em conformidade com as instruções abaixo</w:t>
      </w:r>
      <w:r w:rsidRPr="00B52D44">
        <w:rPr>
          <w:rFonts w:asciiTheme="minorHAnsi" w:hAnsiTheme="minorHAnsi" w:cstheme="minorHAnsi"/>
          <w:b/>
          <w:sz w:val="24"/>
          <w:szCs w:val="24"/>
        </w:rPr>
        <w:t>.</w:t>
      </w:r>
    </w:p>
    <w:p w14:paraId="0C457803" w14:textId="77777777" w:rsidR="00244A00" w:rsidRPr="00B52D44" w:rsidRDefault="00244A00" w:rsidP="00244A00">
      <w:pPr>
        <w:pStyle w:val="Recuodecorpodetexto3"/>
        <w:ind w:left="-142" w:right="-199"/>
        <w:rPr>
          <w:rFonts w:asciiTheme="minorHAnsi" w:hAnsiTheme="minorHAnsi" w:cstheme="minorHAnsi"/>
          <w:sz w:val="24"/>
          <w:szCs w:val="24"/>
        </w:rPr>
      </w:pPr>
    </w:p>
    <w:p w14:paraId="6019C04A" w14:textId="77777777" w:rsidR="00244A00" w:rsidRPr="00B52D44" w:rsidRDefault="00244A00" w:rsidP="00244A00">
      <w:pPr>
        <w:pStyle w:val="Recuodecorpodetexto3"/>
        <w:widowControl/>
        <w:numPr>
          <w:ilvl w:val="0"/>
          <w:numId w:val="39"/>
        </w:numPr>
        <w:ind w:right="-199"/>
        <w:rPr>
          <w:rFonts w:asciiTheme="minorHAnsi" w:hAnsiTheme="minorHAnsi" w:cstheme="minorHAnsi"/>
          <w:b/>
          <w:sz w:val="24"/>
          <w:szCs w:val="24"/>
        </w:rPr>
      </w:pPr>
      <w:r w:rsidRPr="00B52D44">
        <w:rPr>
          <w:rFonts w:asciiTheme="minorHAnsi" w:hAnsiTheme="minorHAnsi" w:cstheme="minorHAnsi"/>
          <w:sz w:val="24"/>
          <w:szCs w:val="24"/>
        </w:rPr>
        <w:t xml:space="preserve">Os campos </w:t>
      </w:r>
      <w:r w:rsidRPr="00B52D44">
        <w:rPr>
          <w:rFonts w:asciiTheme="minorHAnsi" w:hAnsiTheme="minorHAnsi" w:cstheme="minorHAnsi"/>
          <w:iCs/>
          <w:sz w:val="24"/>
          <w:szCs w:val="24"/>
        </w:rPr>
        <w:t>n</w:t>
      </w:r>
      <w:r w:rsidRPr="00B52D44">
        <w:rPr>
          <w:rFonts w:asciiTheme="minorHAnsi" w:hAnsiTheme="minorHAnsi" w:cstheme="minorHAnsi"/>
          <w:iCs/>
          <w:sz w:val="24"/>
          <w:szCs w:val="24"/>
          <w:u w:val="single"/>
          <w:vertAlign w:val="superscript"/>
        </w:rPr>
        <w:t>os</w:t>
      </w:r>
      <w:r w:rsidRPr="00B52D44">
        <w:rPr>
          <w:rFonts w:asciiTheme="minorHAnsi" w:hAnsiTheme="minorHAnsi" w:cstheme="minorHAnsi"/>
          <w:iCs/>
          <w:sz w:val="24"/>
          <w:szCs w:val="24"/>
        </w:rPr>
        <w:t xml:space="preserve"> 01 a 05 deverão ser preenchidos de acordo com os documentos utilizados no desembaraço da mercadoria.</w:t>
      </w:r>
    </w:p>
    <w:p w14:paraId="56F2AF5F" w14:textId="77777777" w:rsidR="00244A00" w:rsidRPr="00B52D44" w:rsidRDefault="00244A00" w:rsidP="00244A00">
      <w:pPr>
        <w:pStyle w:val="Recuodecorpodetexto3"/>
        <w:ind w:right="-199"/>
        <w:rPr>
          <w:rFonts w:asciiTheme="minorHAnsi" w:hAnsiTheme="minorHAnsi" w:cstheme="minorHAnsi"/>
          <w:b/>
          <w:sz w:val="24"/>
          <w:szCs w:val="24"/>
        </w:rPr>
      </w:pPr>
    </w:p>
    <w:p w14:paraId="373EBD35" w14:textId="77777777" w:rsidR="00244A00" w:rsidRPr="00B52D44" w:rsidRDefault="00244A00" w:rsidP="00244A00">
      <w:pPr>
        <w:pStyle w:val="Recuodecorpodetexto3"/>
        <w:widowControl/>
        <w:numPr>
          <w:ilvl w:val="0"/>
          <w:numId w:val="39"/>
        </w:numPr>
        <w:ind w:right="-199"/>
        <w:rPr>
          <w:rFonts w:asciiTheme="minorHAnsi" w:hAnsiTheme="minorHAnsi" w:cstheme="minorHAnsi"/>
          <w:b/>
          <w:sz w:val="24"/>
          <w:szCs w:val="24"/>
        </w:rPr>
      </w:pPr>
      <w:r w:rsidRPr="00B52D44">
        <w:rPr>
          <w:rFonts w:asciiTheme="minorHAnsi" w:hAnsiTheme="minorHAnsi" w:cstheme="minorHAnsi"/>
          <w:sz w:val="24"/>
          <w:szCs w:val="24"/>
        </w:rPr>
        <w:t xml:space="preserve">O campo </w:t>
      </w:r>
      <w:r w:rsidRPr="00B52D44">
        <w:rPr>
          <w:rFonts w:asciiTheme="minorHAnsi" w:hAnsiTheme="minorHAnsi" w:cstheme="minorHAnsi"/>
          <w:iCs/>
          <w:sz w:val="24"/>
          <w:szCs w:val="24"/>
        </w:rPr>
        <w:t>n</w:t>
      </w:r>
      <w:r w:rsidRPr="00B52D44">
        <w:rPr>
          <w:rFonts w:asciiTheme="minorHAnsi" w:hAnsiTheme="minorHAnsi" w:cstheme="minorHAnsi"/>
          <w:iCs/>
          <w:sz w:val="24"/>
          <w:szCs w:val="24"/>
          <w:u w:val="single"/>
          <w:vertAlign w:val="superscript"/>
        </w:rPr>
        <w:t>o</w:t>
      </w:r>
      <w:r w:rsidRPr="00B52D44">
        <w:rPr>
          <w:rFonts w:asciiTheme="minorHAnsi" w:hAnsiTheme="minorHAnsi" w:cstheme="minorHAnsi"/>
          <w:iCs/>
          <w:sz w:val="24"/>
          <w:szCs w:val="24"/>
        </w:rPr>
        <w:t xml:space="preserve"> 06 deve ser preenchido de acordo com a instrução “c” de preenchimento do </w:t>
      </w:r>
      <w:r w:rsidRPr="00B52D44">
        <w:rPr>
          <w:rFonts w:asciiTheme="minorHAnsi" w:hAnsiTheme="minorHAnsi" w:cstheme="minorHAnsi"/>
          <w:b/>
          <w:iCs/>
          <w:sz w:val="24"/>
          <w:szCs w:val="24"/>
        </w:rPr>
        <w:t xml:space="preserve">Apêndice </w:t>
      </w:r>
      <w:r w:rsidR="001573B3" w:rsidRPr="00B52D44">
        <w:rPr>
          <w:rFonts w:asciiTheme="minorHAnsi" w:hAnsiTheme="minorHAnsi" w:cstheme="minorHAnsi"/>
          <w:b/>
          <w:iCs/>
          <w:sz w:val="24"/>
          <w:szCs w:val="24"/>
        </w:rPr>
        <w:t>XV</w:t>
      </w:r>
      <w:r w:rsidR="0006596D" w:rsidRPr="00B52D44">
        <w:rPr>
          <w:rFonts w:asciiTheme="minorHAnsi" w:hAnsiTheme="minorHAnsi" w:cstheme="minorHAnsi"/>
          <w:b/>
          <w:iCs/>
          <w:sz w:val="24"/>
          <w:szCs w:val="24"/>
        </w:rPr>
        <w:t>I</w:t>
      </w:r>
      <w:r w:rsidRPr="00B52D44">
        <w:rPr>
          <w:rFonts w:asciiTheme="minorHAnsi" w:hAnsiTheme="minorHAnsi" w:cstheme="minorHAnsi"/>
          <w:b/>
          <w:iCs/>
          <w:sz w:val="24"/>
          <w:szCs w:val="24"/>
        </w:rPr>
        <w:t>I</w:t>
      </w:r>
      <w:r w:rsidRPr="00B52D44">
        <w:rPr>
          <w:rFonts w:asciiTheme="minorHAnsi" w:hAnsiTheme="minorHAnsi" w:cstheme="minorHAnsi"/>
          <w:iCs/>
          <w:sz w:val="24"/>
          <w:szCs w:val="24"/>
        </w:rPr>
        <w:t>.</w:t>
      </w:r>
    </w:p>
    <w:p w14:paraId="7CED7118" w14:textId="77777777" w:rsidR="00244A00" w:rsidRPr="008C6478" w:rsidRDefault="00244A00" w:rsidP="00244A00">
      <w:pPr>
        <w:pStyle w:val="Recuodecorpodetexto3"/>
        <w:ind w:right="-199"/>
        <w:rPr>
          <w:rFonts w:asciiTheme="minorHAnsi" w:hAnsiTheme="minorHAnsi" w:cstheme="minorHAnsi"/>
          <w:b/>
          <w:sz w:val="24"/>
          <w:szCs w:val="24"/>
        </w:rPr>
      </w:pPr>
    </w:p>
    <w:p w14:paraId="3C189390" w14:textId="6E5EC74B"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5</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No caso de revenda no mercado interno do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importado por essa empresa, originárias</w:t>
      </w:r>
      <w:r w:rsidR="00B52D44">
        <w:rPr>
          <w:rFonts w:asciiTheme="minorHAnsi" w:hAnsiTheme="minorHAnsi" w:cstheme="minorHAnsi"/>
          <w:sz w:val="24"/>
          <w:szCs w:val="24"/>
        </w:rPr>
        <w:t xml:space="preserve"> da China</w:t>
      </w:r>
      <w:r w:rsidRPr="008C6478">
        <w:rPr>
          <w:rFonts w:asciiTheme="minorHAnsi" w:hAnsiTheme="minorHAnsi" w:cstheme="minorHAnsi"/>
          <w:sz w:val="24"/>
          <w:szCs w:val="24"/>
        </w:rPr>
        <w:t xml:space="preserve">, preencher 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para as revendas realizadas </w:t>
      </w:r>
      <w:r w:rsidR="00B52D44" w:rsidRPr="00B52D44">
        <w:rPr>
          <w:rFonts w:asciiTheme="minorHAnsi" w:hAnsiTheme="minorHAnsi" w:cstheme="minorHAnsi"/>
          <w:b/>
          <w:bCs/>
          <w:sz w:val="24"/>
          <w:szCs w:val="24"/>
        </w:rPr>
        <w:t>de outubro de 2022 a setembro de 2023 (P5).</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141B18A9"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econômico, etc.) entre essa empresa e algum produtor /exportador estrangeiro </w:t>
      </w:r>
      <w:r w:rsidR="00B52D44">
        <w:rPr>
          <w:rFonts w:asciiTheme="minorHAnsi" w:hAnsiTheme="minorHAnsi" w:cstheme="minorHAnsi"/>
          <w:sz w:val="24"/>
          <w:szCs w:val="24"/>
        </w:rPr>
        <w:t>da China</w:t>
      </w:r>
      <w:r w:rsidRPr="008C6478">
        <w:rPr>
          <w:rFonts w:asciiTheme="minorHAnsi" w:hAnsiTheme="minorHAnsi" w:cstheme="minorHAnsi"/>
          <w:b/>
          <w:color w:val="FF0000"/>
          <w:sz w:val="24"/>
          <w:szCs w:val="24"/>
        </w:rPr>
        <w:t xml:space="preserve"> </w:t>
      </w:r>
      <w:r w:rsidRPr="008C6478">
        <w:rPr>
          <w:rFonts w:asciiTheme="minorHAnsi" w:hAnsiTheme="minorHAnsi" w:cstheme="minorHAnsi"/>
          <w:sz w:val="24"/>
          <w:szCs w:val="24"/>
        </w:rPr>
        <w:t xml:space="preserve">do produto 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os códigos comerciais utilizados por sua empresa no curso normal das operações de venda do produto em questão.</w:t>
      </w:r>
    </w:p>
    <w:p w14:paraId="09D1C6FA" w14:textId="77777777" w:rsidR="00244A00" w:rsidRPr="008C6478" w:rsidRDefault="00244A00" w:rsidP="00244A00">
      <w:pPr>
        <w:pStyle w:val="Recuodecorpodetexto3"/>
        <w:ind w:left="-142" w:right="-198"/>
        <w:rPr>
          <w:rFonts w:asciiTheme="minorHAnsi" w:hAnsiTheme="minorHAnsi" w:cstheme="minorHAnsi"/>
          <w:sz w:val="24"/>
          <w:szCs w:val="24"/>
        </w:rPr>
      </w:pPr>
    </w:p>
    <w:p w14:paraId="4FCB1AFE" w14:textId="77777777" w:rsidR="00244A00" w:rsidRPr="00B52D44" w:rsidRDefault="00904965" w:rsidP="00904965">
      <w:pPr>
        <w:pStyle w:val="Recuodecorpodetexto3"/>
        <w:ind w:right="-198" w:firstLine="0"/>
        <w:rPr>
          <w:rFonts w:asciiTheme="minorHAnsi" w:hAnsiTheme="minorHAnsi" w:cstheme="minorHAnsi"/>
          <w:b/>
          <w:sz w:val="24"/>
          <w:szCs w:val="24"/>
        </w:rPr>
      </w:pPr>
      <w:r w:rsidRPr="00B52D44">
        <w:rPr>
          <w:rFonts w:asciiTheme="minorHAnsi" w:hAnsiTheme="minorHAnsi" w:cstheme="minorHAnsi"/>
          <w:b/>
          <w:sz w:val="24"/>
          <w:szCs w:val="24"/>
        </w:rPr>
        <w:t>Campo Nº 03.2</w:t>
      </w:r>
      <w:r w:rsidRPr="00B52D44">
        <w:rPr>
          <w:rFonts w:asciiTheme="minorHAnsi" w:hAnsiTheme="minorHAnsi" w:cstheme="minorHAnsi"/>
          <w:b/>
          <w:sz w:val="24"/>
          <w:szCs w:val="24"/>
        </w:rPr>
        <w:tab/>
      </w:r>
      <w:r w:rsidR="00244A00" w:rsidRPr="00B52D44">
        <w:rPr>
          <w:rFonts w:asciiTheme="minorHAnsi" w:hAnsiTheme="minorHAnsi" w:cstheme="minorHAnsi"/>
          <w:b/>
          <w:sz w:val="24"/>
          <w:szCs w:val="24"/>
        </w:rPr>
        <w:t>Código de Identificação do Produto (CODIP)</w:t>
      </w:r>
    </w:p>
    <w:p w14:paraId="0BD5A09D" w14:textId="3081109D" w:rsidR="00244A00" w:rsidRPr="00B52D44" w:rsidRDefault="00904965" w:rsidP="003C48DD">
      <w:pPr>
        <w:pStyle w:val="Recuodecorpodetexto3"/>
        <w:ind w:left="2127" w:right="-198" w:hanging="2269"/>
        <w:rPr>
          <w:rFonts w:asciiTheme="minorHAnsi" w:hAnsiTheme="minorHAnsi" w:cstheme="minorHAnsi"/>
          <w:iCs/>
          <w:sz w:val="24"/>
          <w:szCs w:val="24"/>
        </w:rPr>
      </w:pPr>
      <w:r w:rsidRPr="00B52D44">
        <w:rPr>
          <w:rFonts w:asciiTheme="minorHAnsi" w:hAnsiTheme="minorHAnsi" w:cstheme="minorHAnsi"/>
          <w:sz w:val="24"/>
          <w:szCs w:val="24"/>
        </w:rPr>
        <w:t xml:space="preserve">  </w:t>
      </w:r>
      <w:r w:rsidR="00244A00" w:rsidRPr="00B52D44">
        <w:rPr>
          <w:rFonts w:asciiTheme="minorHAnsi" w:hAnsiTheme="minorHAnsi" w:cstheme="minorHAnsi"/>
          <w:sz w:val="24"/>
          <w:szCs w:val="24"/>
        </w:rPr>
        <w:t>Observação:</w:t>
      </w:r>
      <w:r w:rsidR="00244A00" w:rsidRPr="00B52D44">
        <w:rPr>
          <w:rFonts w:asciiTheme="minorHAnsi" w:hAnsiTheme="minorHAnsi" w:cstheme="minorHAnsi"/>
          <w:sz w:val="24"/>
          <w:szCs w:val="24"/>
        </w:rPr>
        <w:tab/>
        <w:t xml:space="preserve">Informar o código de acordo com o especificado no item “c” das instruções de preenchimento do Apêndice </w:t>
      </w:r>
      <w:r w:rsidR="001573B3" w:rsidRPr="00B52D44">
        <w:rPr>
          <w:rFonts w:asciiTheme="minorHAnsi" w:hAnsiTheme="minorHAnsi" w:cstheme="minorHAnsi"/>
          <w:sz w:val="24"/>
          <w:szCs w:val="24"/>
        </w:rPr>
        <w:t>XV</w:t>
      </w:r>
      <w:r w:rsidR="0006596D" w:rsidRPr="00B52D44">
        <w:rPr>
          <w:rFonts w:asciiTheme="minorHAnsi" w:hAnsiTheme="minorHAnsi" w:cstheme="minorHAnsi"/>
          <w:sz w:val="24"/>
          <w:szCs w:val="24"/>
        </w:rPr>
        <w:t>I</w:t>
      </w:r>
      <w:r w:rsidR="00244A00" w:rsidRPr="00B52D44">
        <w:rPr>
          <w:rFonts w:asciiTheme="minorHAnsi" w:hAnsiTheme="minorHAnsi" w:cstheme="minorHAnsi"/>
          <w:sz w:val="24"/>
          <w:szCs w:val="24"/>
        </w:rPr>
        <w:t xml:space="preserve">I. </w:t>
      </w:r>
    </w:p>
    <w:p w14:paraId="2A7D620D" w14:textId="77777777" w:rsidR="003C48DD" w:rsidRPr="008C6478" w:rsidRDefault="003C48DD" w:rsidP="003C48DD">
      <w:pPr>
        <w:pStyle w:val="Recuodecorpodetexto3"/>
        <w:ind w:left="2127" w:right="-198" w:hanging="2269"/>
        <w:rPr>
          <w:rFonts w:asciiTheme="minorHAnsi" w:hAnsiTheme="minorHAnsi" w:cstheme="minorHAnsi"/>
          <w:sz w:val="24"/>
          <w:szCs w:val="24"/>
        </w:rPr>
      </w:pPr>
    </w:p>
    <w:p w14:paraId="1D7F5C6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04</w:t>
      </w:r>
      <w:r w:rsidRPr="008C6478">
        <w:rPr>
          <w:rFonts w:asciiTheme="minorHAnsi" w:hAnsiTheme="minorHAnsi" w:cstheme="minorHAnsi"/>
          <w:b/>
          <w:sz w:val="24"/>
          <w:szCs w:val="24"/>
        </w:rPr>
        <w:tab/>
      </w:r>
      <w:r w:rsidRPr="008C6478">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r w:rsidRPr="008C6478">
        <w:rPr>
          <w:rFonts w:asciiTheme="minorHAnsi" w:hAnsiTheme="minorHAnsi" w:cstheme="minorHAnsi"/>
          <w:b/>
          <w:sz w:val="24"/>
          <w:szCs w:val="24"/>
        </w:rPr>
        <w:t>ex fabrica</w:t>
      </w:r>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w:t>
      </w:r>
      <w:r w:rsidRPr="008C6478">
        <w:rPr>
          <w:rFonts w:asciiTheme="minorHAnsi" w:hAnsiTheme="minorHAnsi" w:cstheme="minorHAnsi"/>
          <w:sz w:val="24"/>
          <w:szCs w:val="24"/>
        </w:rPr>
        <w:lastRenderedPageBreak/>
        <w:t>outra forma, como os clientes aceitam as condições de pagamento. Os códigos acima relacionados são meramente exemplificativos, não havendo necessidade, portanto, 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B52D44" w:rsidRDefault="00244A00" w:rsidP="00244A00">
      <w:pPr>
        <w:pStyle w:val="Recuodecorpodetexto3"/>
        <w:ind w:left="-142" w:right="-198"/>
        <w:rPr>
          <w:rFonts w:asciiTheme="minorHAnsi" w:hAnsiTheme="minorHAnsi" w:cstheme="minorHAnsi"/>
          <w:sz w:val="24"/>
          <w:szCs w:val="24"/>
        </w:rPr>
      </w:pPr>
    </w:p>
    <w:p w14:paraId="398911FC" w14:textId="77777777" w:rsidR="00244A00" w:rsidRPr="00B52D44" w:rsidRDefault="00904965" w:rsidP="00904965">
      <w:pPr>
        <w:pStyle w:val="Recuodecorpodetexto3"/>
        <w:ind w:right="-198" w:firstLine="0"/>
        <w:rPr>
          <w:rFonts w:asciiTheme="minorHAnsi" w:hAnsiTheme="minorHAnsi" w:cstheme="minorHAnsi"/>
          <w:b/>
          <w:sz w:val="24"/>
          <w:szCs w:val="24"/>
        </w:rPr>
      </w:pPr>
      <w:r w:rsidRPr="00B52D44">
        <w:rPr>
          <w:rFonts w:asciiTheme="minorHAnsi" w:hAnsiTheme="minorHAnsi" w:cstheme="minorHAnsi"/>
          <w:b/>
          <w:sz w:val="24"/>
          <w:szCs w:val="24"/>
        </w:rPr>
        <w:t>Campo Nº 10.1</w:t>
      </w:r>
      <w:r w:rsidRPr="00B52D44">
        <w:rPr>
          <w:rFonts w:asciiTheme="minorHAnsi" w:hAnsiTheme="minorHAnsi" w:cstheme="minorHAnsi"/>
          <w:b/>
          <w:sz w:val="24"/>
          <w:szCs w:val="24"/>
        </w:rPr>
        <w:tab/>
      </w:r>
      <w:r w:rsidR="00244A00" w:rsidRPr="00B52D44">
        <w:rPr>
          <w:rFonts w:asciiTheme="minorHAnsi" w:hAnsiTheme="minorHAnsi" w:cstheme="minorHAnsi"/>
          <w:b/>
          <w:sz w:val="24"/>
          <w:szCs w:val="24"/>
        </w:rPr>
        <w:t>Quantidade (unidade informada, preferencialmente unidade de peso)</w:t>
      </w:r>
    </w:p>
    <w:p w14:paraId="5A83C6CA" w14:textId="77777777" w:rsidR="00904965" w:rsidRPr="00B52D44" w:rsidRDefault="00904965" w:rsidP="00904965">
      <w:pPr>
        <w:pStyle w:val="Recuodecorpodetexto3"/>
        <w:ind w:left="2127" w:right="-198" w:hanging="2269"/>
        <w:rPr>
          <w:rFonts w:asciiTheme="minorHAnsi" w:hAnsiTheme="minorHAnsi" w:cstheme="minorHAnsi"/>
          <w:sz w:val="24"/>
          <w:szCs w:val="24"/>
        </w:rPr>
      </w:pPr>
      <w:r w:rsidRPr="00B52D44">
        <w:rPr>
          <w:rFonts w:asciiTheme="minorHAnsi" w:hAnsiTheme="minorHAnsi" w:cstheme="minorHAnsi"/>
          <w:sz w:val="24"/>
          <w:szCs w:val="24"/>
        </w:rPr>
        <w:t xml:space="preserve">  </w:t>
      </w:r>
      <w:r w:rsidR="00244A00" w:rsidRPr="00B52D44">
        <w:rPr>
          <w:rFonts w:asciiTheme="minorHAnsi" w:hAnsiTheme="minorHAnsi" w:cstheme="minorHAnsi"/>
          <w:sz w:val="24"/>
          <w:szCs w:val="24"/>
        </w:rPr>
        <w:t>Observação:</w:t>
      </w:r>
      <w:r w:rsidR="00244A00" w:rsidRPr="00B52D44">
        <w:rPr>
          <w:rFonts w:asciiTheme="minorHAnsi" w:hAnsiTheme="minorHAnsi" w:cstheme="minorHAnsi"/>
          <w:sz w:val="24"/>
          <w:szCs w:val="24"/>
        </w:rPr>
        <w:tab/>
        <w:t>Informar a quantidade vendida (em [unidade informada, preferencialmente unidade de peso: kg ou t]).</w:t>
      </w:r>
    </w:p>
    <w:p w14:paraId="0C6E0FD9" w14:textId="77777777" w:rsidR="00904965" w:rsidRPr="008C6478"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7" w:name="_Toc12161866"/>
      <w:bookmarkEnd w:id="17"/>
    </w:p>
    <w:p w14:paraId="1A4618F9" w14:textId="4C19F79F" w:rsidR="00244A00" w:rsidRPr="008C6478" w:rsidRDefault="000D0087" w:rsidP="00913E7D">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14E6B259"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2F0A7C">
        <w:rPr>
          <w:rFonts w:asciiTheme="minorHAnsi" w:hAnsiTheme="minorHAnsi" w:cstheme="minorHAnsi"/>
          <w:sz w:val="24"/>
          <w:szCs w:val="24"/>
        </w:rPr>
        <w:t>pelo DECOM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2E394F5A"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2F0A7C">
        <w:rPr>
          <w:rFonts w:asciiTheme="minorHAnsi" w:hAnsiTheme="minorHAnsi" w:cstheme="minorHAnsi"/>
          <w:sz w:val="24"/>
          <w:szCs w:val="24"/>
        </w:rPr>
        <w:t>o DECOM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4808702F" w14:textId="77777777" w:rsidR="000D0087" w:rsidRPr="008C6478" w:rsidRDefault="000D0087" w:rsidP="000D0087">
      <w:pPr>
        <w:pStyle w:val="Recuodecorpodetexto3"/>
        <w:ind w:left="2127" w:right="-198" w:hanging="2269"/>
        <w:rPr>
          <w:rFonts w:asciiTheme="minorHAnsi" w:hAnsiTheme="minorHAnsi" w:cstheme="minorHAnsi"/>
          <w:sz w:val="24"/>
          <w:szCs w:val="24"/>
        </w:rPr>
      </w:pPr>
    </w:p>
    <w:p w14:paraId="06C49B96" w14:textId="77777777" w:rsidR="000D0087" w:rsidRPr="008C6478" w:rsidRDefault="000D0087" w:rsidP="00244A00">
      <w:pPr>
        <w:pStyle w:val="Recuodecorpodetexto3"/>
        <w:ind w:left="2127" w:right="-198" w:hanging="2269"/>
        <w:rPr>
          <w:rFonts w:asciiTheme="minorHAnsi" w:hAnsiTheme="minorHAnsi" w:cstheme="minorHAnsi"/>
          <w:sz w:val="24"/>
          <w:szCs w:val="24"/>
        </w:rPr>
      </w:pPr>
    </w:p>
    <w:sectPr w:rsidR="000D0087" w:rsidRPr="008C6478"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24055" w14:textId="77777777" w:rsidR="00C01BA9" w:rsidRDefault="00C01BA9">
      <w:r>
        <w:separator/>
      </w:r>
    </w:p>
  </w:endnote>
  <w:endnote w:type="continuationSeparator" w:id="0">
    <w:p w14:paraId="40673A6D" w14:textId="77777777" w:rsidR="00C01BA9" w:rsidRDefault="00C01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03701" w14:textId="77777777" w:rsidR="00C01BA9" w:rsidRDefault="00C01BA9">
      <w:r>
        <w:separator/>
      </w:r>
    </w:p>
  </w:footnote>
  <w:footnote w:type="continuationSeparator" w:id="0">
    <w:p w14:paraId="35EFA211" w14:textId="77777777" w:rsidR="00C01BA9" w:rsidRDefault="00C01BA9">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85829104">
    <w:abstractNumId w:val="39"/>
  </w:num>
  <w:num w:numId="2" w16cid:durableId="590625543">
    <w:abstractNumId w:val="17"/>
  </w:num>
  <w:num w:numId="3" w16cid:durableId="1871138646">
    <w:abstractNumId w:val="15"/>
  </w:num>
  <w:num w:numId="4" w16cid:durableId="1190024507">
    <w:abstractNumId w:val="27"/>
  </w:num>
  <w:num w:numId="5" w16cid:durableId="1834488316">
    <w:abstractNumId w:val="1"/>
  </w:num>
  <w:num w:numId="6" w16cid:durableId="890922802">
    <w:abstractNumId w:val="16"/>
  </w:num>
  <w:num w:numId="7" w16cid:durableId="2115129787">
    <w:abstractNumId w:val="31"/>
  </w:num>
  <w:num w:numId="8" w16cid:durableId="526874793">
    <w:abstractNumId w:val="26"/>
  </w:num>
  <w:num w:numId="9" w16cid:durableId="89862040">
    <w:abstractNumId w:val="10"/>
  </w:num>
  <w:num w:numId="10" w16cid:durableId="795023618">
    <w:abstractNumId w:val="40"/>
  </w:num>
  <w:num w:numId="11" w16cid:durableId="1657026229">
    <w:abstractNumId w:val="2"/>
  </w:num>
  <w:num w:numId="12" w16cid:durableId="1052464177">
    <w:abstractNumId w:val="18"/>
  </w:num>
  <w:num w:numId="13" w16cid:durableId="1366755148">
    <w:abstractNumId w:val="21"/>
  </w:num>
  <w:num w:numId="14" w16cid:durableId="1261258635">
    <w:abstractNumId w:val="19"/>
  </w:num>
  <w:num w:numId="15" w16cid:durableId="843203855">
    <w:abstractNumId w:val="29"/>
  </w:num>
  <w:num w:numId="16" w16cid:durableId="1517769132">
    <w:abstractNumId w:val="14"/>
  </w:num>
  <w:num w:numId="17" w16cid:durableId="305015179">
    <w:abstractNumId w:val="32"/>
  </w:num>
  <w:num w:numId="18" w16cid:durableId="1484741316">
    <w:abstractNumId w:val="38"/>
  </w:num>
  <w:num w:numId="19" w16cid:durableId="537010730">
    <w:abstractNumId w:val="35"/>
  </w:num>
  <w:num w:numId="20" w16cid:durableId="245461734">
    <w:abstractNumId w:val="36"/>
  </w:num>
  <w:num w:numId="21" w16cid:durableId="1905604913">
    <w:abstractNumId w:val="28"/>
  </w:num>
  <w:num w:numId="22" w16cid:durableId="575941552">
    <w:abstractNumId w:val="33"/>
  </w:num>
  <w:num w:numId="23" w16cid:durableId="1462916238">
    <w:abstractNumId w:val="22"/>
  </w:num>
  <w:num w:numId="24" w16cid:durableId="1437603903">
    <w:abstractNumId w:val="23"/>
  </w:num>
  <w:num w:numId="25" w16cid:durableId="1643997271">
    <w:abstractNumId w:val="3"/>
  </w:num>
  <w:num w:numId="26" w16cid:durableId="1844397422">
    <w:abstractNumId w:val="4"/>
  </w:num>
  <w:num w:numId="27" w16cid:durableId="931742556">
    <w:abstractNumId w:val="12"/>
  </w:num>
  <w:num w:numId="28" w16cid:durableId="39717040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8797687">
    <w:abstractNumId w:val="24"/>
  </w:num>
  <w:num w:numId="30" w16cid:durableId="487137478">
    <w:abstractNumId w:val="20"/>
  </w:num>
  <w:num w:numId="31" w16cid:durableId="640228844">
    <w:abstractNumId w:val="8"/>
  </w:num>
  <w:num w:numId="32" w16cid:durableId="248121169">
    <w:abstractNumId w:val="6"/>
  </w:num>
  <w:num w:numId="33" w16cid:durableId="1172796991">
    <w:abstractNumId w:val="34"/>
  </w:num>
  <w:num w:numId="34" w16cid:durableId="433138880">
    <w:abstractNumId w:val="7"/>
  </w:num>
  <w:num w:numId="35" w16cid:durableId="1099718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1439913">
    <w:abstractNumId w:val="13"/>
  </w:num>
  <w:num w:numId="37" w16cid:durableId="1996030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1760369">
    <w:abstractNumId w:val="9"/>
  </w:num>
  <w:num w:numId="39" w16cid:durableId="2130345809">
    <w:abstractNumId w:val="30"/>
  </w:num>
  <w:num w:numId="40" w16cid:durableId="940144507">
    <w:abstractNumId w:val="37"/>
  </w:num>
  <w:num w:numId="41" w16cid:durableId="1115909126">
    <w:abstractNumId w:val="5"/>
  </w:num>
  <w:num w:numId="42" w16cid:durableId="1373965922">
    <w:abstractNumId w:val="11"/>
  </w:num>
  <w:num w:numId="43" w16cid:durableId="820586362">
    <w:abstractNumId w:val="0"/>
    <w:lvlOverride w:ilvl="0"/>
    <w:lvlOverride w:ilvl="1">
      <w:startOverride w:val="1"/>
    </w:lvlOverride>
    <w:lvlOverride w:ilvl="2"/>
    <w:lvlOverride w:ilvl="3"/>
    <w:lvlOverride w:ilvl="4"/>
    <w:lvlOverride w:ilvl="5"/>
    <w:lvlOverride w:ilvl="6"/>
    <w:lvlOverride w:ilvl="7"/>
    <w:lvlOverride w:ilvl="8"/>
  </w:num>
  <w:num w:numId="44" w16cid:durableId="947542876">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192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2FD"/>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0A7C"/>
    <w:rsid w:val="002F2469"/>
    <w:rsid w:val="002F41CB"/>
    <w:rsid w:val="002F528A"/>
    <w:rsid w:val="002F6762"/>
    <w:rsid w:val="00302B9D"/>
    <w:rsid w:val="0030329C"/>
    <w:rsid w:val="003034DF"/>
    <w:rsid w:val="00307EA9"/>
    <w:rsid w:val="003127C1"/>
    <w:rsid w:val="003148DB"/>
    <w:rsid w:val="00314A50"/>
    <w:rsid w:val="00315995"/>
    <w:rsid w:val="00316CE1"/>
    <w:rsid w:val="00321560"/>
    <w:rsid w:val="0032320E"/>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48DD"/>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3F7082"/>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632"/>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250E"/>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07EF"/>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13E7D"/>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A0F"/>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2D44"/>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0557"/>
    <w:rsid w:val="00B93548"/>
    <w:rsid w:val="00B93B80"/>
    <w:rsid w:val="00B957D5"/>
    <w:rsid w:val="00B95A13"/>
    <w:rsid w:val="00BA1F97"/>
    <w:rsid w:val="00BA35B6"/>
    <w:rsid w:val="00BA7D2A"/>
    <w:rsid w:val="00BB33EC"/>
    <w:rsid w:val="00BB529D"/>
    <w:rsid w:val="00BB7B95"/>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1BA9"/>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94C"/>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28</Pages>
  <Words>8454</Words>
  <Characters>45655</Characters>
  <Application>Microsoft Office Word</Application>
  <DocSecurity>2</DocSecurity>
  <Lines>380</Lines>
  <Paragraphs>108</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54001</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Fabiola Sara Stofela Sarolli</cp:lastModifiedBy>
  <cp:revision>24</cp:revision>
  <cp:lastPrinted>2015-06-23T13:05:00Z</cp:lastPrinted>
  <dcterms:created xsi:type="dcterms:W3CDTF">2019-06-06T18:09:00Z</dcterms:created>
  <dcterms:modified xsi:type="dcterms:W3CDTF">2024-07-02T18:34:00Z</dcterms:modified>
</cp:coreProperties>
</file>